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一、中药房振动磨需求参数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工作容积：10L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电压：380v/220v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电机功率：2.2kw/3kw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细度：100-3000目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5；</w:t>
      </w:r>
      <w:r>
        <w:rPr>
          <w:rFonts w:hint="eastAsia" w:ascii="仿宋_GB2312" w:hAnsi="仿宋_GB2312" w:eastAsia="仿宋_GB2312" w:cs="仿宋_GB2312"/>
          <w:sz w:val="32"/>
          <w:szCs w:val="32"/>
        </w:rPr>
        <w:t>重量：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</w:rPr>
        <w:t>400kg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尺寸：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</w:rPr>
        <w:t>125*75*130CM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材质：304不锈钢材质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壁厚：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10毫米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一般粉碎机难以粉碎的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韧性、高硬度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纤维状、海绵状、含油率高、含水率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含糖量高物料的粉碎作业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对花朵粉及其它孢子植物等要求打破细胞壁的物料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</w:rPr>
        <w:t>温度可控：通过配置可进行常温、低温、超低温，防氧化、防爆炸等多种配置来降低粉碎腔内的温度,利于热敏性物料的粉碎,适合中位径达微米级的粉碎作业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采用复合（透明）隔声罩，全密闭作业无粉尘溢出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降低噪音内外面平滑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减轻洗净作业负担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粉碎过程全密闭无粉尘溢出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</w:rPr>
        <w:t>易拆卸（组装）、易清洗、易换料。可用水、压缩空气、酒精、蒸汽等清洗、消毒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二斤装密封型高速中药粉碎机需求参数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电压220V/50HZ；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功率1800W；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细度30-300目；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粉碎量：1000g/m；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转速≥25000r/m；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53845"/>
    <w:multiLevelType w:val="singleLevel"/>
    <w:tmpl w:val="DEA5384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A2DA97"/>
    <w:multiLevelType w:val="singleLevel"/>
    <w:tmpl w:val="1BA2DA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E12E04"/>
    <w:multiLevelType w:val="singleLevel"/>
    <w:tmpl w:val="4CE12E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902DF"/>
    <w:rsid w:val="690C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2026-01-16T02:57:00Z</dcterms:created>
  <dc:creator>Administrator</dc:creator>
  <cp:lastModifiedBy>自治县中医医院</cp:lastModifiedBy>
  <dcterms:modified xsi:type="dcterms:W3CDTF">2026-01-21T01:30:41Z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84C626DF01CD42EF94AF881E4DBCDC12</vt:lpwstr>
  </property>
</Properties>
</file>