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27305</wp:posOffset>
                </wp:positionV>
                <wp:extent cx="5944235" cy="8255"/>
                <wp:effectExtent l="0" t="13970" r="14605" b="23495"/>
                <wp:wrapNone/>
                <wp:docPr id="2"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6.75pt;margin-top:2.15pt;height:0.65pt;width:468.05pt;z-index:251661312;mso-width-relative:page;mso-height-relative:page;" filled="f" stroked="t" coordsize="21600,21600" o:gfxdata="UEsDBAoAAAAAAIdO4kAAAAAAAAAAAAAAAAAEAAAAZHJzL1BLAwQUAAAACACHTuJAzuF5e9UAAAAG&#10;AQAADwAAAGRycy9kb3ducmV2LnhtbE2OwU7DMBBE70j8g7VIXBC1S9uoTeP0gATiwKWBD9gk2yQi&#10;XofYbdp+PcsJjqMZvXnZ7ux6daIxdJ4tzGcGFHHl644bC58fL49rUCEi19h7JgsXCrDLb28yTGs/&#10;8Z5ORWyUQDikaKGNcUi1DlVLDsPMD8TSHfzoMEocG12POAnc9frJmEQ77FgeWhzouaXqqzg6C/ty&#10;je9v5rvwF06u07UIrw9DZe393dxsQUU6x78x/OqLOuTiVPoj10H1khcrWVpYLkBJvVluElClhVUC&#10;Os/0f/38B1BLAwQUAAAACACHTuJAh8j1ZO0BAADrAwAADgAAAGRycy9lMm9Eb2MueG1srVPNjtMw&#10;EL4j8Q6W7zTdsIUSNd3DluWCoNIC96ljN5b8J4+3aZ+F1+DEhcfZ12DshGpZLj2QgzXj+fx5vi/j&#10;1c3RGnaQEbV3Lb+azTmTTvhOu33Lv365e7XkDBO4Dox3suUnifxm/fLFagiNrH3vTScjIxKHzRBa&#10;3qcUmqpC0UsLOPNBOioqHy0kSuO+6iIMxG5NVc/nb6rBxy5ELyQi7W7GIp8Y4yWEXikt5MaLBytd&#10;GlmjNJBIEvY6IF+XbpWSIn1WCmVipuWkNJWVLqF4l9dqvYJmHyH0WkwtwCUtPNNkQTu69Ey1gQTs&#10;Iep/qKwW0aNXaSa8rUYhxRFScTV/5s19D0EWLWQ1hrPp+P9oxafDNjLdtbzmzIGlH/74/cfjz1+s&#10;zt4MARuC3LptnDIM25iFHlW0TBkdvtEQFekkhh2Ls6ezs/KYmKDNxbvr6/r1gjNBtWW9WGTyamTJ&#10;bCFi+iC9ZTloudEu64YGDh8xjdA/kLxtHBuo4+XibaYEmkJFf59CG0gJun05jN7o7k4bk49g3O9u&#10;TWQHyJNQvqmHv2D5lg1gP+JKKcOg6SV0713H0imQR46eBs89WNlxZiS9pBwVZAJtLkGSfOMytSxz&#10;OgnNjo8e52jnu1OxvsoZzUBxbZrXPGRPc4qfvt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7h&#10;eXvVAAAABgEAAA8AAAAAAAAAAQAgAAAAIgAAAGRycy9kb3ducmV2LnhtbFBLAQIUABQAAAAIAIdO&#10;4kCHyPVk7QEAAOsDAAAOAAAAAAAAAAEAIAAAACQBAABkcnMvZTJvRG9jLnhtbFBLBQYAAAAABgAG&#10;AFkBAACDBQAAAAA=&#10;">
                <v:fill on="f" focussize="0,0"/>
                <v:stroke weight="2.25pt" color="#000000" joinstyle="round"/>
                <v:imagedata o:title=""/>
                <o:lock v:ext="edit" aspectratio="f"/>
              </v:line>
            </w:pict>
          </mc:Fallback>
        </mc:AlternateContent>
      </w:r>
    </w:p>
    <w:p>
      <w:pPr>
        <w:pStyle w:val="7"/>
        <w:rPr>
          <w:rFonts w:ascii="宋体" w:hAnsi="宋体" w:eastAsia="宋体" w:cs="宋体"/>
          <w:color w:val="auto"/>
          <w:highlight w:val="none"/>
        </w:rPr>
      </w:pPr>
    </w:p>
    <w:p>
      <w:pPr>
        <w:pStyle w:val="7"/>
        <w:rPr>
          <w:rFonts w:ascii="宋体" w:hAnsi="宋体" w:eastAsia="宋体" w:cs="宋体"/>
          <w:color w:val="auto"/>
          <w:highlight w:val="none"/>
        </w:rPr>
      </w:pPr>
    </w:p>
    <w:p>
      <w:pPr>
        <w:jc w:val="center"/>
        <w:rPr>
          <w:rFonts w:hint="eastAsia" w:ascii="宋体" w:hAnsi="宋体" w:eastAsia="宋体" w:cs="宋体"/>
          <w:color w:val="auto"/>
          <w:sz w:val="90"/>
          <w:szCs w:val="90"/>
          <w:highlight w:val="none"/>
          <w:lang w:eastAsia="zh-CN"/>
        </w:rPr>
      </w:pPr>
      <w:r>
        <w:rPr>
          <w:rFonts w:hint="eastAsia" w:ascii="宋体" w:hAnsi="宋体" w:eastAsia="宋体" w:cs="宋体"/>
          <w:color w:val="auto"/>
          <w:sz w:val="90"/>
          <w:szCs w:val="90"/>
          <w:highlight w:val="none"/>
        </w:rPr>
        <w:t>竞争性谈判采购文件</w:t>
      </w:r>
    </w:p>
    <w:p>
      <w:pPr>
        <w:rPr>
          <w:rFonts w:ascii="宋体" w:hAnsi="宋体" w:eastAsia="宋体" w:cs="宋体"/>
          <w:color w:val="auto"/>
          <w:sz w:val="52"/>
          <w:highlight w:val="none"/>
        </w:rPr>
      </w:pPr>
    </w:p>
    <w:p>
      <w:pPr>
        <w:pStyle w:val="4"/>
        <w:rPr>
          <w:rFonts w:ascii="宋体" w:hAnsi="宋体" w:eastAsia="宋体" w:cs="宋体"/>
          <w:color w:val="auto"/>
          <w:highlight w:val="none"/>
        </w:rPr>
      </w:pPr>
    </w:p>
    <w:p>
      <w:pPr>
        <w:rPr>
          <w:rFonts w:ascii="宋体" w:hAnsi="宋体" w:eastAsia="宋体" w:cs="宋体"/>
          <w:color w:val="auto"/>
          <w:sz w:val="32"/>
          <w:highlight w:val="none"/>
        </w:rPr>
      </w:pPr>
    </w:p>
    <w:p>
      <w:pPr>
        <w:spacing w:line="480" w:lineRule="auto"/>
        <w:ind w:right="268" w:rightChars="122"/>
        <w:rPr>
          <w:rFonts w:hint="default" w:ascii="宋体" w:hAnsi="宋体" w:eastAsia="宋体" w:cs="宋体"/>
          <w:b/>
          <w:color w:val="auto"/>
          <w:sz w:val="30"/>
          <w:szCs w:val="30"/>
          <w:highlight w:val="none"/>
          <w:u w:val="single"/>
          <w:lang w:val="en-US" w:eastAsia="zh-CN"/>
        </w:rPr>
      </w:pPr>
      <w:r>
        <w:rPr>
          <w:rFonts w:hint="eastAsia"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single"/>
          <w:lang w:eastAsia="zh-CN"/>
        </w:rPr>
        <w:t>隆林各族自治县中医医院</w:t>
      </w:r>
      <w:r>
        <w:rPr>
          <w:rFonts w:hint="eastAsia" w:ascii="宋体" w:hAnsi="宋体" w:eastAsia="宋体" w:cs="宋体"/>
          <w:b/>
          <w:color w:val="auto"/>
          <w:sz w:val="30"/>
          <w:szCs w:val="30"/>
          <w:highlight w:val="none"/>
          <w:u w:val="single"/>
          <w:lang w:val="en-US" w:eastAsia="zh-CN"/>
        </w:rPr>
        <w:t>车载式呼吸机（有创）</w:t>
      </w:r>
      <w:r>
        <w:rPr>
          <w:rFonts w:hint="eastAsia" w:ascii="宋体" w:hAnsi="宋体" w:eastAsia="宋体" w:cs="宋体"/>
          <w:b/>
          <w:color w:val="auto"/>
          <w:sz w:val="30"/>
          <w:szCs w:val="30"/>
          <w:highlight w:val="none"/>
          <w:u w:val="single"/>
          <w:lang w:eastAsia="zh-CN"/>
        </w:rPr>
        <w:t>采购项目</w:t>
      </w:r>
      <w:r>
        <w:rPr>
          <w:rFonts w:hint="eastAsia" w:ascii="宋体" w:hAnsi="宋体" w:eastAsia="宋体" w:cs="宋体"/>
          <w:b/>
          <w:color w:val="auto"/>
          <w:sz w:val="30"/>
          <w:szCs w:val="30"/>
          <w:highlight w:val="none"/>
          <w:u w:val="single"/>
          <w:lang w:val="en-US" w:eastAsia="zh-CN"/>
        </w:rPr>
        <w:t xml:space="preserve"> </w:t>
      </w:r>
    </w:p>
    <w:p>
      <w:pPr>
        <w:spacing w:line="480" w:lineRule="auto"/>
        <w:ind w:right="-609" w:rightChars="-277" w:firstLine="2100" w:firstLineChars="700"/>
        <w:jc w:val="both"/>
        <w:rPr>
          <w:rFonts w:hint="eastAsia" w:ascii="宋体" w:hAnsi="宋体" w:eastAsia="宋体" w:cs="宋体"/>
          <w:b/>
          <w:color w:val="auto"/>
          <w:sz w:val="30"/>
          <w:szCs w:val="30"/>
          <w:highlight w:val="none"/>
          <w:u w:val="single"/>
          <w:lang w:val="en-US" w:eastAsia="zh-CN"/>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LLXZYYY20250045 </w:t>
      </w:r>
    </w:p>
    <w:p>
      <w:pPr>
        <w:pStyle w:val="16"/>
        <w:rPr>
          <w:rFonts w:hint="eastAsia" w:ascii="宋体" w:hAnsi="宋体" w:eastAsia="宋体" w:cs="宋体"/>
          <w:b/>
          <w:color w:val="auto"/>
          <w:sz w:val="30"/>
          <w:szCs w:val="30"/>
          <w:highlight w:val="none"/>
          <w:u w:val="single"/>
          <w:lang w:val="en-US" w:eastAsia="zh-CN"/>
        </w:rPr>
      </w:pPr>
    </w:p>
    <w:p>
      <w:pPr>
        <w:rPr>
          <w:rFonts w:hint="eastAsia" w:ascii="宋体" w:hAnsi="宋体" w:eastAsia="宋体" w:cs="宋体"/>
          <w:b/>
          <w:color w:val="auto"/>
          <w:sz w:val="30"/>
          <w:szCs w:val="30"/>
          <w:highlight w:val="none"/>
          <w:u w:val="single"/>
          <w:lang w:val="en-US" w:eastAsia="zh-CN"/>
        </w:rPr>
      </w:pPr>
    </w:p>
    <w:p>
      <w:pPr>
        <w:pStyle w:val="16"/>
        <w:rPr>
          <w:rFonts w:hint="default"/>
          <w:lang w:val="en-US" w:eastAsia="zh-CN"/>
        </w:rPr>
      </w:pPr>
    </w:p>
    <w:p>
      <w:pPr>
        <w:spacing w:line="400" w:lineRule="exact"/>
        <w:rPr>
          <w:rFonts w:ascii="宋体" w:hAnsi="宋体" w:eastAsia="宋体" w:cs="宋体"/>
          <w:color w:val="auto"/>
          <w:sz w:val="32"/>
          <w:highlight w:val="none"/>
        </w:rPr>
      </w:pPr>
    </w:p>
    <w:p>
      <w:pPr>
        <w:pStyle w:val="7"/>
        <w:ind w:firstLine="0"/>
        <w:rPr>
          <w:rFonts w:ascii="宋体" w:hAnsi="宋体" w:eastAsia="宋体" w:cs="宋体"/>
          <w:color w:val="auto"/>
          <w:highlight w:val="none"/>
        </w:rPr>
      </w:pPr>
    </w:p>
    <w:p>
      <w:pPr>
        <w:pStyle w:val="7"/>
        <w:ind w:firstLine="0"/>
        <w:rPr>
          <w:rFonts w:ascii="宋体" w:hAnsi="宋体" w:eastAsia="宋体" w:cs="宋体"/>
          <w:color w:val="auto"/>
          <w:highlight w:val="none"/>
        </w:rPr>
      </w:pPr>
    </w:p>
    <w:p>
      <w:pPr>
        <w:jc w:val="center"/>
        <w:rPr>
          <w:rFonts w:ascii="宋体" w:hAnsi="宋体" w:eastAsia="宋体" w:cs="宋体"/>
          <w:color w:val="auto"/>
          <w:sz w:val="3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158750</wp:posOffset>
                </wp:positionV>
                <wp:extent cx="5896610" cy="3175"/>
                <wp:effectExtent l="0" t="13970" r="1270" b="28575"/>
                <wp:wrapNone/>
                <wp:docPr id="1" name="直线 3"/>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5.25pt;margin-top:12.5pt;height:0.25pt;width:464.3pt;z-index:251660288;mso-width-relative:page;mso-height-relative:page;" filled="f" stroked="t" coordsize="21600,21600" o:gfxdata="UEsDBAoAAAAAAIdO4kAAAAAAAAAAAAAAAAAEAAAAZHJzL1BLAwQUAAAACACHTuJAgzUuItcAAAAJ&#10;AQAADwAAAGRycy9kb3ducmV2LnhtbE2PwUrDQBCG74LvsIzgRdrdLURizKZowZsUbEU8TrLTJJjd&#10;Ddlt076905MeZ+bjn+8v12c3iBNNsQ/egF4qEOSbYHvfGvjcvy1yEDGhtzgETwYuFGFd3d6UWNgw&#10;+w867VIrOMTHAg10KY2FlLHpyGFchpE83w5hcph4nFppJ5w53A1ypdSjdNh7/tDhSJuOmp/d0Rlo&#10;cLvZ4uFLzpi+X14f6vfL1ObG3N9p9Qwi0Tn9wXDVZ3Wo2KkOR2+jGAwstMoYNbDKuBMDTzrXIOrr&#10;IgNZlfJ/g+oXUEsDBBQAAAAIAIdO4kC3Iq1L5gEAAOEDAAAOAAAAZHJzL2Uyb0RvYy54bWytU0uO&#10;EzEQ3SNxB8t70klGCaGVziwmDBsEkRgOULHdaUv+yeVJJ2fhGqzYcJy5BmV3E4ZhkwW9cFe5ys/1&#10;XpXXtydr2FFF1N41fDaZcqac8FK7Q8O/Pty/WXGGCZwE451q+Fkhv928frXuQ63mvvNGqsgIxGHd&#10;h4Z3KYW6qlB0ygJOfFCOgq2PFhK58VDJCD2hW1PNp9Nl1fsoQ/RCIdLudgjyETFeA+jbVgu19eLR&#10;KpcG1KgMJKKEnQ7IN6XatlUifW5bVImZhhPTVFa6hOx9XqvNGupDhNBpMZYA15TwgpMF7ejSC9QW&#10;ErDHqP+BslpEj75NE+FtNRApihCL2fSFNl86CKpwIakxXETH/wcrPh13kWlJk8CZA0sNf/r2/enH&#10;T3aTtekD1pRy53Zx9DDsYiZ6aqPNf6LATkXP80VPdUpM0OZi9W65nJHUgmI3s7eLDFn9ORsipg/K&#10;W5aNhhvtMluo4fgR05D6OyVvG8f6hs9XCwJiAmj2Wuo5mTZQ/egO5TB6o+W9NiYfwXjY35nIjpD7&#10;X76xhr/S8i1bwG7IK6GcBnWnQL53kqVzIGUcPQiea7BKcmYUvZ9slcwE2lyTSfSNy9CqTOdINOs8&#10;KJutvZfnIniVPep8UW2c0jxaz32yn7/M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NS4i1wAA&#10;AAkBAAAPAAAAAAAAAAEAIAAAACIAAABkcnMvZG93bnJldi54bWxQSwECFAAUAAAACACHTuJAtyKt&#10;S+YBAADhAwAADgAAAAAAAAABACAAAAAmAQAAZHJzL2Uyb0RvYy54bWxQSwUGAAAAAAYABgBZAQAA&#10;fgUAAAAA&#10;">
                <v:fill on="f" focussize="0,0"/>
                <v:stroke weight="2.25pt" color="#000000" joinstyle="round"/>
                <v:imagedata o:title=""/>
                <o:lock v:ext="edit" aspectratio="f"/>
              </v:line>
            </w:pict>
          </mc:Fallback>
        </mc:AlternateContent>
      </w:r>
    </w:p>
    <w:p>
      <w:pPr>
        <w:ind w:firstLine="1600" w:firstLineChars="5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 xml:space="preserve">采购单位： </w:t>
      </w:r>
      <w:r>
        <w:rPr>
          <w:rFonts w:hint="eastAsia" w:ascii="宋体" w:hAnsi="宋体" w:eastAsia="宋体" w:cs="宋体"/>
          <w:b/>
          <w:color w:val="auto"/>
          <w:sz w:val="32"/>
          <w:highlight w:val="none"/>
          <w:lang w:eastAsia="zh-CN"/>
        </w:rPr>
        <w:t>隆林各族自治县中医医院</w:t>
      </w:r>
    </w:p>
    <w:p>
      <w:pPr>
        <w:spacing w:line="600" w:lineRule="exact"/>
        <w:ind w:firstLine="3520" w:firstLineChars="1100"/>
        <w:rPr>
          <w:rFonts w:ascii="宋体" w:hAnsi="宋体" w:eastAsia="宋体" w:cs="宋体"/>
          <w:b/>
          <w:color w:val="auto"/>
          <w:sz w:val="32"/>
          <w:highlight w:val="none"/>
        </w:rPr>
      </w:pP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lang w:val="en-US" w:eastAsia="zh-CN"/>
        </w:rPr>
        <w:t>12</w:t>
      </w:r>
      <w:r>
        <w:rPr>
          <w:rFonts w:hint="eastAsia" w:ascii="宋体" w:hAnsi="宋体" w:eastAsia="宋体" w:cs="宋体"/>
          <w:b/>
          <w:color w:val="auto"/>
          <w:sz w:val="32"/>
          <w:highlight w:val="none"/>
        </w:rPr>
        <w:t>月</w:t>
      </w:r>
    </w:p>
    <w:p>
      <w:pPr>
        <w:spacing w:line="600" w:lineRule="exact"/>
        <w:ind w:firstLine="3040"/>
        <w:rPr>
          <w:rFonts w:ascii="宋体" w:hAnsi="宋体" w:eastAsia="宋体" w:cs="宋体"/>
          <w:color w:val="auto"/>
          <w:highlight w:val="none"/>
        </w:rPr>
        <w:sectPr>
          <w:headerReference r:id="rId6" w:type="first"/>
          <w:headerReference r:id="rId4" w:type="default"/>
          <w:footerReference r:id="rId7" w:type="default"/>
          <w:headerReference r:id="rId5" w:type="even"/>
          <w:footerReference r:id="rId8" w:type="even"/>
          <w:pgSz w:w="11906" w:h="16838"/>
          <w:pgMar w:top="1418" w:right="1418" w:bottom="1418" w:left="1418" w:header="851" w:footer="992" w:gutter="0"/>
          <w:pgNumType w:start="1"/>
          <w:cols w:space="720" w:num="1"/>
          <w:titlePg/>
          <w:docGrid w:type="linesAndChars" w:linePitch="312" w:charSpace="0"/>
        </w:sectPr>
      </w:pPr>
    </w:p>
    <w:p>
      <w:pPr>
        <w:jc w:val="center"/>
        <w:rPr>
          <w:rFonts w:ascii="宋体" w:hAnsi="宋体" w:eastAsia="宋体" w:cs="宋体"/>
          <w:b/>
          <w:bCs/>
          <w:color w:val="auto"/>
          <w:sz w:val="32"/>
          <w:szCs w:val="32"/>
          <w:highlight w:val="none"/>
        </w:rPr>
      </w:pPr>
    </w:p>
    <w:p>
      <w:pPr>
        <w:spacing w:line="360" w:lineRule="auto"/>
        <w:jc w:val="center"/>
        <w:outlineLvl w:val="0"/>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outlineLvl w:val="0"/>
        <w:rPr>
          <w:rFonts w:ascii="宋体" w:hAnsi="宋体"/>
          <w:b/>
          <w:color w:val="auto"/>
          <w:sz w:val="44"/>
          <w:szCs w:val="44"/>
          <w:highlight w:val="none"/>
        </w:rPr>
      </w:pP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"1-3" \h \z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"_Toc35611510" </w:instrText>
      </w:r>
      <w:r>
        <w:rPr>
          <w:color w:val="auto"/>
          <w:highlight w:val="none"/>
        </w:rPr>
        <w:fldChar w:fldCharType="separate"/>
      </w:r>
      <w:r>
        <w:rPr>
          <w:rStyle w:val="26"/>
          <w:rFonts w:hint="eastAsia"/>
          <w:color w:val="auto"/>
          <w:sz w:val="28"/>
          <w:szCs w:val="28"/>
          <w:highlight w:val="none"/>
        </w:rPr>
        <w:t>第一章</w:t>
      </w:r>
      <w:r>
        <w:rPr>
          <w:rStyle w:val="26"/>
          <w:color w:val="auto"/>
          <w:sz w:val="28"/>
          <w:szCs w:val="28"/>
          <w:highlight w:val="none"/>
        </w:rPr>
        <w:t xml:space="preserve"> </w:t>
      </w:r>
      <w:r>
        <w:rPr>
          <w:rStyle w:val="26"/>
          <w:rFonts w:hint="eastAsia"/>
          <w:color w:val="auto"/>
          <w:sz w:val="28"/>
          <w:szCs w:val="28"/>
          <w:highlight w:val="none"/>
        </w:rPr>
        <w:t>竞争性谈判公告</w:t>
      </w:r>
      <w:r>
        <w:rPr>
          <w:rFonts w:hint="eastAsia"/>
          <w:color w:val="auto"/>
          <w:sz w:val="28"/>
          <w:szCs w:val="28"/>
          <w:highlight w:val="none"/>
          <w:lang w:val="en-US" w:eastAsia="zh-CN"/>
        </w:rPr>
        <w:t>.</w:t>
      </w:r>
      <w:r>
        <w:rPr>
          <w:color w:val="auto"/>
          <w:sz w:val="28"/>
          <w:szCs w:val="28"/>
          <w:highlight w:val="none"/>
        </w:rPr>
        <w:fldChar w:fldCharType="end"/>
      </w:r>
      <w:r>
        <w:rPr>
          <w:rFonts w:hint="eastAsia"/>
          <w:color w:val="auto"/>
          <w:sz w:val="28"/>
          <w:szCs w:val="28"/>
          <w:highlight w:val="none"/>
          <w:lang w:val="en-US" w:eastAsia="zh-CN"/>
        </w:rPr>
        <w:t>..........................................................1</w:t>
      </w:r>
    </w:p>
    <w:p>
      <w:pPr>
        <w:pStyle w:val="17"/>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"_Toc35611511" </w:instrText>
      </w:r>
      <w:r>
        <w:rPr>
          <w:color w:val="auto"/>
          <w:highlight w:val="none"/>
        </w:rPr>
        <w:fldChar w:fldCharType="separate"/>
      </w:r>
      <w:r>
        <w:rPr>
          <w:rStyle w:val="26"/>
          <w:rFonts w:hint="eastAsia"/>
          <w:color w:val="auto"/>
          <w:sz w:val="28"/>
          <w:szCs w:val="28"/>
          <w:highlight w:val="none"/>
        </w:rPr>
        <w:t>第二章</w:t>
      </w:r>
      <w:r>
        <w:rPr>
          <w:rStyle w:val="26"/>
          <w:color w:val="auto"/>
          <w:sz w:val="28"/>
          <w:szCs w:val="28"/>
          <w:highlight w:val="none"/>
        </w:rPr>
        <w:t xml:space="preserve"> </w:t>
      </w:r>
      <w:r>
        <w:rPr>
          <w:rStyle w:val="26"/>
          <w:rFonts w:hint="eastAsia"/>
          <w:color w:val="auto"/>
          <w:sz w:val="28"/>
          <w:szCs w:val="28"/>
          <w:highlight w:val="none"/>
        </w:rPr>
        <w:t>供应商须知及前附表</w:t>
      </w:r>
      <w:r>
        <w:rPr>
          <w:rFonts w:hint="eastAsia"/>
          <w:color w:val="auto"/>
          <w:sz w:val="28"/>
          <w:szCs w:val="28"/>
          <w:highlight w:val="none"/>
          <w:lang w:val="en-US" w:eastAsia="zh-CN"/>
        </w:rPr>
        <w:t>....................................................4</w:t>
      </w:r>
      <w:r>
        <w:rPr>
          <w:rFonts w:hint="eastAsia"/>
          <w:color w:val="auto"/>
          <w:sz w:val="28"/>
          <w:szCs w:val="28"/>
          <w:highlight w:val="none"/>
        </w:rPr>
        <w:fldChar w:fldCharType="end"/>
      </w:r>
    </w:p>
    <w:p>
      <w:pPr>
        <w:pStyle w:val="17"/>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"_Toc35611512" </w:instrText>
      </w:r>
      <w:r>
        <w:rPr>
          <w:color w:val="auto"/>
          <w:highlight w:val="none"/>
        </w:rPr>
        <w:fldChar w:fldCharType="separate"/>
      </w:r>
      <w:r>
        <w:rPr>
          <w:rStyle w:val="26"/>
          <w:rFonts w:hint="eastAsia"/>
          <w:color w:val="auto"/>
          <w:sz w:val="28"/>
          <w:szCs w:val="28"/>
          <w:highlight w:val="none"/>
        </w:rPr>
        <w:t>第三章</w:t>
      </w:r>
      <w:r>
        <w:rPr>
          <w:rStyle w:val="26"/>
          <w:color w:val="auto"/>
          <w:sz w:val="28"/>
          <w:szCs w:val="28"/>
          <w:highlight w:val="none"/>
        </w:rPr>
        <w:t xml:space="preserve"> </w:t>
      </w:r>
      <w:r>
        <w:rPr>
          <w:rStyle w:val="26"/>
          <w:rFonts w:hint="eastAsia"/>
          <w:color w:val="auto"/>
          <w:sz w:val="28"/>
          <w:szCs w:val="28"/>
          <w:highlight w:val="none"/>
        </w:rPr>
        <w:t>货物需求一览表</w:t>
      </w:r>
      <w:r>
        <w:rPr>
          <w:rFonts w:hint="eastAsia"/>
          <w:color w:val="auto"/>
          <w:sz w:val="28"/>
          <w:szCs w:val="28"/>
          <w:highlight w:val="none"/>
          <w:lang w:val="en-US" w:eastAsia="zh-CN"/>
        </w:rPr>
        <w:t>...........................................................</w:t>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rPr>
        <w:t>3</w:t>
      </w: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color w:val="auto"/>
          <w:highlight w:val="none"/>
        </w:rPr>
        <w:fldChar w:fldCharType="begin"/>
      </w:r>
      <w:r>
        <w:rPr>
          <w:color w:val="auto"/>
          <w:highlight w:val="none"/>
        </w:rPr>
        <w:instrText xml:space="preserve"> HYPERLINK \l "_Toc35611513" </w:instrText>
      </w:r>
      <w:r>
        <w:rPr>
          <w:color w:val="auto"/>
          <w:highlight w:val="none"/>
        </w:rPr>
        <w:fldChar w:fldCharType="separate"/>
      </w:r>
      <w:r>
        <w:rPr>
          <w:rStyle w:val="26"/>
          <w:rFonts w:hint="eastAsia"/>
          <w:color w:val="auto"/>
          <w:sz w:val="28"/>
          <w:szCs w:val="28"/>
          <w:highlight w:val="none"/>
        </w:rPr>
        <w:t>第四章</w:t>
      </w:r>
      <w:r>
        <w:rPr>
          <w:rStyle w:val="26"/>
          <w:color w:val="auto"/>
          <w:sz w:val="28"/>
          <w:szCs w:val="28"/>
          <w:highlight w:val="none"/>
        </w:rPr>
        <w:t xml:space="preserve"> </w:t>
      </w:r>
      <w:r>
        <w:rPr>
          <w:rStyle w:val="26"/>
          <w:rFonts w:hint="eastAsia"/>
          <w:color w:val="auto"/>
          <w:sz w:val="28"/>
          <w:szCs w:val="28"/>
          <w:highlight w:val="none"/>
        </w:rPr>
        <w:t>合同协议书</w:t>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7</w:t>
      </w:r>
    </w:p>
    <w:p>
      <w:pPr>
        <w:pStyle w:val="17"/>
        <w:tabs>
          <w:tab w:val="right" w:leader="dot" w:pos="9040"/>
          <w:tab w:val="clear" w:pos="8296"/>
        </w:tabs>
        <w:spacing w:line="360" w:lineRule="auto"/>
        <w:ind w:left="440"/>
        <w:outlineLvl w:val="0"/>
        <w:rPr>
          <w:rFonts w:hint="eastAsia"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Style w:val="26"/>
          <w:rFonts w:hint="eastAsia"/>
          <w:color w:val="auto"/>
          <w:sz w:val="28"/>
          <w:szCs w:val="28"/>
          <w:highlight w:val="none"/>
        </w:rPr>
        <w:t>第五章</w:t>
      </w:r>
      <w:r>
        <w:rPr>
          <w:rStyle w:val="26"/>
          <w:color w:val="auto"/>
          <w:sz w:val="28"/>
          <w:szCs w:val="28"/>
          <w:highlight w:val="none"/>
        </w:rPr>
        <w:t xml:space="preserve"> </w:t>
      </w:r>
      <w:r>
        <w:rPr>
          <w:rStyle w:val="26"/>
          <w:rFonts w:hint="eastAsia"/>
          <w:color w:val="auto"/>
          <w:sz w:val="28"/>
          <w:szCs w:val="28"/>
          <w:highlight w:val="none"/>
        </w:rPr>
        <w:t>响应文件格式</w:t>
      </w:r>
      <w:r>
        <w:rPr>
          <w:rStyle w:val="26"/>
          <w:rFonts w:hint="eastAsia"/>
          <w:color w:val="auto"/>
          <w:sz w:val="28"/>
          <w:szCs w:val="28"/>
          <w:highlight w:val="none"/>
          <w:lang w:val="en-US" w:eastAsia="zh-CN"/>
        </w:rPr>
        <w:t>.............................................................................</w:t>
      </w:r>
      <w:r>
        <w:rPr>
          <w:rFonts w:hint="eastAsia"/>
          <w:color w:val="auto"/>
          <w:sz w:val="28"/>
          <w:szCs w:val="28"/>
          <w:highlight w:val="none"/>
          <w:lang w:val="en-US" w:eastAsia="zh-CN"/>
        </w:rPr>
        <w:t>4</w:t>
      </w:r>
      <w:r>
        <w:rPr>
          <w:rFonts w:hint="eastAsia"/>
          <w:color w:val="auto"/>
          <w:sz w:val="28"/>
          <w:szCs w:val="28"/>
          <w:highlight w:val="none"/>
        </w:rPr>
        <w:fldChar w:fldCharType="end"/>
      </w:r>
      <w:r>
        <w:rPr>
          <w:rFonts w:hint="eastAsia"/>
          <w:color w:val="auto"/>
          <w:sz w:val="28"/>
          <w:szCs w:val="28"/>
          <w:highlight w:val="none"/>
          <w:lang w:val="en-US" w:eastAsia="zh-CN"/>
        </w:rPr>
        <w:t>2</w:t>
      </w:r>
    </w:p>
    <w:p>
      <w:pPr>
        <w:ind w:firstLine="440" w:firstLineChars="200"/>
        <w:rPr>
          <w:rFonts w:hint="eastAsia"/>
          <w:color w:val="auto"/>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Fonts w:hint="eastAsia"/>
          <w:color w:val="auto"/>
          <w:sz w:val="24"/>
          <w:szCs w:val="24"/>
          <w:highlight w:val="none"/>
        </w:rPr>
        <w:fldChar w:fldCharType="begin"/>
      </w:r>
      <w:r>
        <w:rPr>
          <w:rFonts w:hint="eastAsia"/>
          <w:color w:val="auto"/>
          <w:sz w:val="24"/>
          <w:szCs w:val="24"/>
          <w:highlight w:val="none"/>
        </w:rPr>
        <w:instrText xml:space="preserve"> HYPERLINK \l "bookmark19" </w:instrText>
      </w:r>
      <w:r>
        <w:rPr>
          <w:rFonts w:hint="eastAsia"/>
          <w:color w:val="auto"/>
          <w:sz w:val="24"/>
          <w:szCs w:val="24"/>
          <w:highlight w:val="none"/>
        </w:rPr>
        <w:fldChar w:fldCharType="separate"/>
      </w:r>
      <w:r>
        <w:rPr>
          <w:rStyle w:val="26"/>
          <w:rFonts w:hint="eastAsia"/>
          <w:color w:val="auto"/>
          <w:sz w:val="28"/>
          <w:szCs w:val="28"/>
          <w:highlight w:val="none"/>
          <w:lang w:val="en-US" w:eastAsia="zh-CN" w:bidi="ar-SA"/>
        </w:rPr>
        <w:t>第六章 评定成交的标准</w:t>
      </w:r>
      <w:r>
        <w:rPr>
          <w:rFonts w:hint="eastAsia" w:hAnsi="Times New Roman"/>
          <w:color w:val="auto"/>
          <w:sz w:val="24"/>
          <w:szCs w:val="24"/>
          <w:highlight w:val="none"/>
          <w:lang w:val="en-US" w:eastAsia="zh-CN"/>
        </w:rPr>
        <w:fldChar w:fldCharType="end"/>
      </w:r>
      <w:r>
        <w:rPr>
          <w:rFonts w:hint="eastAsia" w:hAnsi="Times New Roman"/>
          <w:color w:val="auto"/>
          <w:sz w:val="28"/>
          <w:szCs w:val="28"/>
          <w:highlight w:val="none"/>
          <w:lang w:val="en-US" w:eastAsia="zh-CN"/>
        </w:rPr>
        <w:t>..........................................................61</w:t>
      </w:r>
      <w:r>
        <w:rPr>
          <w:color w:val="auto"/>
          <w:sz w:val="28"/>
          <w:szCs w:val="28"/>
          <w:highlight w:val="none"/>
        </w:rPr>
        <w:tab/>
      </w:r>
      <w:r>
        <w:rPr>
          <w:rFonts w:hint="eastAsia"/>
          <w:color w:val="auto"/>
          <w:sz w:val="28"/>
          <w:szCs w:val="28"/>
          <w:highlight w:val="none"/>
        </w:rPr>
        <w:fldChar w:fldCharType="end"/>
      </w:r>
    </w:p>
    <w:p>
      <w:pPr>
        <w:rPr>
          <w:rFonts w:hint="eastAsia"/>
          <w:color w:val="auto"/>
          <w:highlight w:val="none"/>
          <w:lang w:eastAsia="zh-CN"/>
        </w:rPr>
      </w:pPr>
    </w:p>
    <w:p>
      <w:pPr>
        <w:rPr>
          <w:rFonts w:ascii="宋体" w:hAnsi="宋体" w:eastAsia="宋体" w:cs="宋体"/>
          <w:color w:val="auto"/>
          <w:highlight w:val="none"/>
        </w:rPr>
      </w:pPr>
      <w:r>
        <w:rPr>
          <w:color w:val="auto"/>
          <w:sz w:val="28"/>
          <w:szCs w:val="28"/>
          <w:highlight w:val="none"/>
        </w:rPr>
        <w:fldChar w:fldCharType="end"/>
      </w:r>
    </w:p>
    <w:p>
      <w:pPr>
        <w:tabs>
          <w:tab w:val="left" w:pos="9214"/>
        </w:tabs>
        <w:ind w:right="423"/>
        <w:jc w:val="both"/>
        <w:rPr>
          <w:rFonts w:ascii="宋体" w:hAnsi="宋体" w:eastAsia="宋体" w:cs="宋体"/>
          <w:b/>
          <w:color w:val="auto"/>
          <w:sz w:val="28"/>
          <w:highlight w:val="none"/>
        </w:rPr>
      </w:pPr>
    </w:p>
    <w:p>
      <w:pPr>
        <w:tabs>
          <w:tab w:val="left" w:pos="9214"/>
        </w:tabs>
        <w:ind w:right="423"/>
        <w:jc w:val="center"/>
        <w:rPr>
          <w:rFonts w:hint="eastAsia" w:ascii="宋体" w:hAnsi="宋体" w:eastAsia="宋体" w:cs="宋体"/>
          <w:b/>
          <w:color w:val="auto"/>
          <w:sz w:val="28"/>
          <w:highlight w:val="none"/>
        </w:rPr>
        <w:sectPr>
          <w:pgSz w:w="11910" w:h="16840"/>
          <w:pgMar w:top="1520" w:right="1500" w:bottom="280" w:left="1680" w:header="720" w:footer="720" w:gutter="0"/>
          <w:cols w:space="720" w:num="1"/>
        </w:sectPr>
      </w:pPr>
    </w:p>
    <w:p>
      <w:pPr>
        <w:tabs>
          <w:tab w:val="left" w:pos="9214"/>
        </w:tabs>
        <w:ind w:right="423"/>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第一章 竞争性谈判公告</w:t>
      </w:r>
    </w:p>
    <w:p>
      <w:pPr>
        <w:spacing w:after="80" w:line="460" w:lineRule="exact"/>
        <w:jc w:val="center"/>
        <w:rPr>
          <w:rFonts w:hint="eastAsia" w:ascii="宋体" w:hAnsi="宋体" w:eastAsia="宋体" w:cs="宋体"/>
          <w:b/>
          <w:color w:val="auto"/>
          <w:sz w:val="24"/>
          <w:szCs w:val="24"/>
          <w:highlight w:val="none"/>
          <w:lang w:eastAsia="zh-CN"/>
        </w:rPr>
      </w:pPr>
      <w:bookmarkStart w:id="0" w:name="OLE_LINK2"/>
      <w:r>
        <w:rPr>
          <w:rFonts w:hint="eastAsia" w:ascii="宋体" w:hAnsi="宋体" w:eastAsia="宋体" w:cs="宋体"/>
          <w:b/>
          <w:color w:val="auto"/>
          <w:sz w:val="24"/>
          <w:szCs w:val="24"/>
          <w:highlight w:val="none"/>
          <w:lang w:eastAsia="zh-CN"/>
        </w:rPr>
        <w:t>隆林各族自治县中医医院关于</w:t>
      </w:r>
      <w:bookmarkStart w:id="143" w:name="_GoBack"/>
      <w:bookmarkEnd w:id="143"/>
      <w:r>
        <w:rPr>
          <w:rFonts w:hint="eastAsia" w:ascii="宋体" w:hAnsi="宋体" w:eastAsia="宋体" w:cs="宋体"/>
          <w:b/>
          <w:color w:val="auto"/>
          <w:sz w:val="24"/>
          <w:szCs w:val="24"/>
          <w:highlight w:val="none"/>
          <w:lang w:eastAsia="zh-CN"/>
        </w:rPr>
        <w:t>车载式呼吸机（</w:t>
      </w:r>
      <w:r>
        <w:rPr>
          <w:rFonts w:hint="eastAsia" w:ascii="宋体" w:hAnsi="宋体" w:eastAsia="宋体" w:cs="宋体"/>
          <w:b/>
          <w:color w:val="auto"/>
          <w:sz w:val="24"/>
          <w:szCs w:val="24"/>
          <w:highlight w:val="none"/>
          <w:lang w:val="en-US" w:eastAsia="zh-CN"/>
        </w:rPr>
        <w:t>有创</w:t>
      </w:r>
      <w:r>
        <w:rPr>
          <w:rFonts w:hint="eastAsia" w:ascii="宋体" w:hAnsi="宋体" w:eastAsia="宋体" w:cs="宋体"/>
          <w:b/>
          <w:color w:val="auto"/>
          <w:sz w:val="24"/>
          <w:szCs w:val="24"/>
          <w:highlight w:val="none"/>
          <w:lang w:eastAsia="zh-CN"/>
        </w:rPr>
        <w:t>）采购项目（LLXZYYY20250045）的竞争性谈判公告</w:t>
      </w:r>
    </w:p>
    <w:p>
      <w:pPr>
        <w:widowControl w:val="0"/>
        <w:pBdr>
          <w:top w:val="single" w:color="auto" w:sz="4" w:space="1"/>
          <w:left w:val="single" w:color="auto" w:sz="4" w:space="4"/>
          <w:bottom w:val="single" w:color="auto" w:sz="4" w:space="1"/>
          <w:right w:val="single" w:color="auto" w:sz="4" w:space="4"/>
        </w:pBdr>
        <w:tabs>
          <w:tab w:val="left" w:pos="474"/>
        </w:tabs>
        <w:adjustRightInd/>
        <w:snapToGrid/>
        <w:spacing w:after="80" w:line="44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adjustRightInd/>
        <w:snapToGrid/>
        <w:spacing w:after="80"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隆林各族自治县中医医院车载式呼吸机（有创）采购项目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val="en-US" w:eastAsia="zh-CN"/>
        </w:rPr>
        <w:t>公告下方自行获取</w:t>
      </w:r>
      <w:r>
        <w:rPr>
          <w:rFonts w:hint="eastAsia" w:ascii="宋体" w:hAnsi="宋体" w:eastAsia="宋体" w:cs="宋体"/>
          <w:color w:val="auto"/>
          <w:sz w:val="24"/>
          <w:szCs w:val="24"/>
          <w:highlight w:val="none"/>
        </w:rPr>
        <w:t>竞争性</w:t>
      </w:r>
      <w:r>
        <w:rPr>
          <w:rFonts w:hint="eastAsia" w:ascii="宋体" w:hAnsi="宋体" w:eastAsia="宋体" w:cs="宋体"/>
          <w:color w:val="auto"/>
          <w:spacing w:val="-8"/>
          <w:sz w:val="24"/>
          <w:szCs w:val="24"/>
          <w:highlight w:val="none"/>
        </w:rPr>
        <w:t>谈判文件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val="en-US" w:eastAsia="zh-CN"/>
        </w:rPr>
        <w:t>谈判时现场</w:t>
      </w:r>
      <w:r>
        <w:rPr>
          <w:rFonts w:hint="eastAsia" w:ascii="宋体" w:hAnsi="宋体" w:eastAsia="宋体" w:cs="宋体"/>
          <w:color w:val="auto"/>
          <w:sz w:val="24"/>
          <w:szCs w:val="24"/>
          <w:highlight w:val="none"/>
        </w:rPr>
        <w:t>提交响应文件。</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隆林各族自治县中医医院车载式呼吸机（有创）采购项目</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LLXZYYY20250045</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采购方式：竞争性谈判 </w:t>
      </w:r>
    </w:p>
    <w:p>
      <w:pPr>
        <w:widowControl w:val="0"/>
        <w:spacing w:after="8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150000.00元</w:t>
      </w:r>
    </w:p>
    <w:p>
      <w:pPr>
        <w:widowControl w:val="0"/>
        <w:spacing w:after="8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最高限价：150000.00元</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采购需求：拟采购</w:t>
      </w:r>
      <w:r>
        <w:rPr>
          <w:rFonts w:hint="eastAsia" w:ascii="宋体" w:hAnsi="宋体" w:eastAsia="宋体" w:cs="宋体"/>
          <w:color w:val="auto"/>
          <w:sz w:val="24"/>
          <w:szCs w:val="24"/>
          <w:highlight w:val="none"/>
          <w:u w:val="none"/>
          <w:lang w:eastAsia="zh-CN"/>
        </w:rPr>
        <w:t>车载式呼吸机（有创）</w:t>
      </w:r>
      <w:r>
        <w:rPr>
          <w:rFonts w:hint="eastAsia" w:ascii="宋体" w:hAnsi="宋体" w:eastAsia="宋体" w:cs="宋体"/>
          <w:color w:val="auto"/>
          <w:sz w:val="24"/>
          <w:szCs w:val="24"/>
          <w:highlight w:val="none"/>
        </w:rPr>
        <w:t>。如需近一步了解，详见竞争性谈判采购文件。</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合同履行期限：合同签订之日起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0日内完成供货，调试，通过验收并交付使用。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本项目不接受联合体竞标。</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二、供应商资格：</w:t>
      </w:r>
    </w:p>
    <w:p>
      <w:pPr>
        <w:widowControl w:val="0"/>
        <w:spacing w:after="8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pStyle w:val="16"/>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2、落实政府采购政策需满足的资格要求：无；</w:t>
      </w:r>
    </w:p>
    <w:p>
      <w:pPr>
        <w:pStyle w:val="16"/>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3、国内注册（指按国家有关规定要求注册的），合法运营在法律上、财务上独立的，具有生产或经营本次采购货物供应商；</w:t>
      </w:r>
    </w:p>
    <w:p>
      <w:pPr>
        <w:widowControl w:val="0"/>
        <w:spacing w:after="8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pPr>
        <w:widowControl w:val="0"/>
        <w:spacing w:after="80"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于本公告下方自行获取。</w:t>
      </w:r>
    </w:p>
    <w:p>
      <w:pPr>
        <w:pStyle w:val="18"/>
        <w:keepNext w:val="0"/>
        <w:keepLines w:val="0"/>
        <w:widowControl/>
        <w:numPr>
          <w:ilvl w:val="0"/>
          <w:numId w:val="1"/>
        </w:numPr>
        <w:suppressLineNumbers w:val="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报名方式</w:t>
      </w:r>
    </w:p>
    <w:p>
      <w:pPr>
        <w:pStyle w:val="18"/>
        <w:keepNext w:val="0"/>
        <w:keepLines w:val="0"/>
        <w:widowControl/>
        <w:numPr>
          <w:ilvl w:val="0"/>
          <w:numId w:val="0"/>
        </w:numPr>
        <w:suppressLineNumbers w:val="0"/>
        <w:ind w:firstLine="480" w:firstLineChars="200"/>
      </w:pPr>
      <w:r>
        <w:t>确定参与本项目供应商请2025年1</w:t>
      </w:r>
      <w:r>
        <w:rPr>
          <w:rFonts w:hint="eastAsia"/>
          <w:lang w:val="en-US" w:eastAsia="zh-CN"/>
        </w:rPr>
        <w:t>2</w:t>
      </w:r>
      <w:r>
        <w:t>月</w:t>
      </w:r>
      <w:r>
        <w:rPr>
          <w:rFonts w:hint="eastAsia"/>
          <w:lang w:val="en-US" w:eastAsia="zh-CN"/>
        </w:rPr>
        <w:t>19</w:t>
      </w:r>
      <w:r>
        <w:t>日1</w:t>
      </w:r>
      <w:r>
        <w:rPr>
          <w:rFonts w:hint="eastAsia"/>
          <w:lang w:val="en-US" w:eastAsia="zh-CN"/>
        </w:rPr>
        <w:t>8</w:t>
      </w:r>
      <w:r>
        <w:t>时</w:t>
      </w:r>
      <w:r>
        <w:rPr>
          <w:rFonts w:hint="eastAsia"/>
          <w:lang w:val="en-US" w:eastAsia="zh-CN"/>
        </w:rPr>
        <w:t>0</w:t>
      </w:r>
      <w:r>
        <w:t>0分前提供以下材料发送至邮箱报名（llxzyyycgb@163.com）：</w:t>
      </w:r>
    </w:p>
    <w:p>
      <w:pPr>
        <w:pStyle w:val="18"/>
        <w:keepNext w:val="0"/>
        <w:keepLines w:val="0"/>
        <w:widowControl/>
        <w:suppressLineNumbers w:val="0"/>
        <w:ind w:firstLine="480" w:firstLineChars="200"/>
      </w:pPr>
      <w:r>
        <w:t>①报名函（格式自拟）；②《营业执照》、《医疗器械经营许可证》或《医疗器械生产许可证》；③法人身份证正反面复印件（加盖公司公章）、授权代理人身份证正反面复印件（加盖公章）。</w:t>
      </w:r>
    </w:p>
    <w:p>
      <w:pPr>
        <w:widowControl w:val="0"/>
        <w:spacing w:after="80" w:line="500" w:lineRule="exact"/>
        <w:rPr>
          <w:rFonts w:ascii="宋体" w:hAnsi="宋体" w:eastAsia="宋体" w:cs="宋体"/>
          <w:b/>
          <w:color w:val="auto"/>
          <w:sz w:val="24"/>
          <w:szCs w:val="24"/>
          <w:highlight w:val="none"/>
        </w:rPr>
      </w:pPr>
      <w:bookmarkStart w:id="1" w:name="_Toc28359092"/>
      <w:bookmarkStart w:id="2" w:name="_Toc35393632"/>
      <w:bookmarkStart w:id="3" w:name="_Toc35393801"/>
      <w:bookmarkStart w:id="4" w:name="_Toc28359015"/>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、响应文件提交</w:t>
      </w:r>
      <w:bookmarkEnd w:id="1"/>
      <w:bookmarkEnd w:id="2"/>
      <w:bookmarkEnd w:id="3"/>
      <w:bookmarkEnd w:id="4"/>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竟谈会时现场提交</w:t>
      </w:r>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bookmarkStart w:id="5" w:name="_Toc28359084"/>
      <w:bookmarkStart w:id="6" w:name="_Toc35393625"/>
      <w:bookmarkStart w:id="7" w:name="_Toc28359007"/>
      <w:bookmarkStart w:id="8" w:name="_Toc35393794"/>
      <w:r>
        <w:rPr>
          <w:rFonts w:hint="eastAsia" w:ascii="宋体" w:hAnsi="宋体" w:eastAsia="宋体" w:cs="宋体"/>
          <w:color w:val="auto"/>
          <w:sz w:val="24"/>
          <w:szCs w:val="24"/>
          <w:highlight w:val="none"/>
          <w:lang w:val="en-US" w:eastAsia="zh-CN"/>
        </w:rPr>
        <w:t>隆林各族自治县中医医院会议室</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、开启</w:t>
      </w:r>
    </w:p>
    <w:p>
      <w:pPr>
        <w:widowControl w:val="0"/>
        <w:spacing w:after="80" w:line="500" w:lineRule="exact"/>
        <w:ind w:firstLine="480" w:firstLineChars="200"/>
        <w:rPr>
          <w:rFonts w:ascii="宋体" w:hAnsi="宋体" w:eastAsia="宋体" w:cs="宋体"/>
          <w:sz w:val="24"/>
          <w:szCs w:val="24"/>
        </w:rPr>
      </w:pPr>
      <w:r>
        <w:rPr>
          <w:rFonts w:hint="eastAsia" w:ascii="宋体" w:hAnsi="宋体" w:eastAsia="宋体" w:cs="宋体"/>
          <w:color w:val="auto"/>
          <w:sz w:val="24"/>
          <w:szCs w:val="24"/>
          <w:highlight w:val="none"/>
        </w:rPr>
        <w:t>时间：</w:t>
      </w:r>
      <w:r>
        <w:rPr>
          <w:rFonts w:ascii="宋体" w:hAnsi="宋体" w:eastAsia="宋体" w:cs="宋体"/>
          <w:sz w:val="24"/>
          <w:szCs w:val="24"/>
        </w:rPr>
        <w:t>竟谈会具体时间由院方提前两天通知。</w:t>
      </w:r>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隆林各族自治县中医医院会议室</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、公告期限</w:t>
      </w:r>
      <w:bookmarkEnd w:id="5"/>
      <w:bookmarkEnd w:id="6"/>
      <w:bookmarkEnd w:id="7"/>
      <w:bookmarkEnd w:id="8"/>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自公告发布之日起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个工作日。</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1.网上查询地址：https://llgzzzxzyyy.cn（隆林各族自治县中医医院官网）。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.竞标保证金：无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.本项目需要落实的政府采购政策：</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rPr>
        <w:t>。</w:t>
      </w:r>
    </w:p>
    <w:p>
      <w:pPr>
        <w:widowControl w:val="0"/>
        <w:spacing w:after="80" w:line="50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、凡对本次采购提出询问，请按以下方式联系：</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隆林各族自治县中医医院</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default" w:ascii="宋体" w:hAnsi="宋体" w:eastAsia="宋体" w:cs="宋体"/>
          <w:color w:val="auto"/>
          <w:sz w:val="24"/>
          <w:szCs w:val="24"/>
          <w:highlight w:val="none"/>
          <w:lang w:eastAsia="zh-CN"/>
        </w:rPr>
        <w:t>隆林各族自治县江那小区</w:t>
      </w:r>
      <w:r>
        <w:rPr>
          <w:rFonts w:hint="eastAsia" w:ascii="宋体" w:hAnsi="宋体" w:eastAsia="宋体" w:cs="宋体"/>
          <w:color w:val="auto"/>
          <w:sz w:val="24"/>
          <w:szCs w:val="24"/>
          <w:highlight w:val="none"/>
        </w:rPr>
        <w:t xml:space="preserve"> </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常工</w:t>
      </w:r>
      <w:r>
        <w:rPr>
          <w:rFonts w:hint="eastAsia" w:ascii="宋体" w:hAnsi="宋体" w:eastAsia="宋体" w:cs="宋体"/>
          <w:color w:val="auto"/>
          <w:sz w:val="24"/>
          <w:szCs w:val="24"/>
          <w:highlight w:val="none"/>
        </w:rPr>
        <w:t xml:space="preserve">  电话：</w:t>
      </w:r>
      <w:r>
        <w:rPr>
          <w:rFonts w:hint="eastAsia" w:ascii="宋体" w:hAnsi="宋体" w:eastAsia="宋体" w:cs="宋体"/>
          <w:sz w:val="24"/>
          <w:szCs w:val="24"/>
          <w:highlight w:val="none"/>
          <w:u w:val="none"/>
          <w:lang w:val="en-US" w:eastAsia="zh-CN"/>
        </w:rPr>
        <w:t>0776-5084153</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机构信息</w:t>
      </w:r>
    </w:p>
    <w:p>
      <w:pPr>
        <w:widowControl w:val="0"/>
        <w:spacing w:after="8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机构：</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szCs w:val="24"/>
          <w:highlight w:val="none"/>
          <w:lang w:val="en-US" w:eastAsia="zh-CN"/>
        </w:rPr>
        <w:t>纪检监察室</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谭主任</w:t>
      </w:r>
    </w:p>
    <w:p>
      <w:pPr>
        <w:widowControl w:val="0"/>
        <w:autoSpaceDE w:val="0"/>
        <w:autoSpaceDN w:val="0"/>
        <w:spacing w:after="80" w:line="500" w:lineRule="exact"/>
        <w:ind w:firstLine="480" w:firstLineChars="200"/>
        <w:rPr>
          <w:color w:val="auto"/>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0776-2505111</w:t>
      </w:r>
    </w:p>
    <w:p>
      <w:pPr>
        <w:widowControl w:val="0"/>
        <w:wordWrap w:val="0"/>
        <w:spacing w:after="80" w:line="500" w:lineRule="exact"/>
        <w:ind w:left="247" w:right="143" w:rightChars="65" w:hanging="247" w:hangingChars="103"/>
        <w:jc w:val="right"/>
        <w:rPr>
          <w:rFonts w:hint="eastAsia" w:ascii="宋体" w:hAnsi="宋体" w:eastAsia="宋体" w:cs="宋体"/>
          <w:color w:val="auto"/>
          <w:sz w:val="24"/>
          <w:szCs w:val="24"/>
          <w:highlight w:val="none"/>
          <w:lang w:eastAsia="zh-CN"/>
        </w:rPr>
      </w:pPr>
    </w:p>
    <w:p>
      <w:pPr>
        <w:widowControl w:val="0"/>
        <w:wordWrap w:val="0"/>
        <w:spacing w:after="80" w:line="500" w:lineRule="exact"/>
        <w:ind w:left="247" w:right="143" w:rightChars="65" w:hanging="247" w:hangingChars="103"/>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szCs w:val="24"/>
          <w:highlight w:val="none"/>
        </w:rPr>
        <w:t xml:space="preserve">           </w:t>
      </w:r>
    </w:p>
    <w:p>
      <w:pPr>
        <w:ind w:firstLine="6000" w:firstLine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 xml:space="preserve">日            </w:t>
      </w: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 xml:space="preserve">第二章  </w:t>
      </w:r>
      <w:bookmarkEnd w:id="0"/>
      <w:r>
        <w:rPr>
          <w:rFonts w:hint="eastAsia" w:ascii="宋体" w:hAnsi="宋体" w:eastAsia="宋体" w:cs="宋体"/>
          <w:b/>
          <w:color w:val="auto"/>
          <w:sz w:val="32"/>
          <w:szCs w:val="32"/>
          <w:highlight w:val="none"/>
        </w:rPr>
        <w:t>供应商须知及前附表</w:t>
      </w:r>
    </w:p>
    <w:tbl>
      <w:tblPr>
        <w:tblStyle w:val="21"/>
        <w:tblW w:w="9233" w:type="dxa"/>
        <w:tblInd w:w="108" w:type="dxa"/>
        <w:tblLayout w:type="fixed"/>
        <w:tblCellMar>
          <w:top w:w="0" w:type="dxa"/>
          <w:left w:w="108" w:type="dxa"/>
          <w:bottom w:w="0" w:type="dxa"/>
          <w:right w:w="108" w:type="dxa"/>
        </w:tblCellMar>
      </w:tblPr>
      <w:tblGrid>
        <w:gridCol w:w="758"/>
        <w:gridCol w:w="1030"/>
        <w:gridCol w:w="7445"/>
      </w:tblGrid>
      <w:tr>
        <w:tblPrEx>
          <w:tblCellMar>
            <w:top w:w="0" w:type="dxa"/>
            <w:left w:w="108" w:type="dxa"/>
            <w:bottom w:w="0" w:type="dxa"/>
            <w:right w:w="108" w:type="dxa"/>
          </w:tblCellMar>
        </w:tblPrEx>
        <w:trPr>
          <w:trHeight w:val="53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内容规格</w:t>
            </w:r>
          </w:p>
        </w:tc>
      </w:tr>
      <w:tr>
        <w:tblPrEx>
          <w:tblCellMar>
            <w:top w:w="0" w:type="dxa"/>
            <w:left w:w="108" w:type="dxa"/>
            <w:bottom w:w="0" w:type="dxa"/>
            <w:right w:w="108" w:type="dxa"/>
          </w:tblCellMar>
        </w:tblPrEx>
        <w:trPr>
          <w:trHeight w:val="3640"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cs="宋体"/>
                <w:b/>
                <w:color w:val="auto"/>
                <w:sz w:val="24"/>
                <w:highlight w:val="none"/>
              </w:rPr>
            </w:pPr>
            <w:r>
              <w:rPr>
                <w:rFonts w:hint="eastAsia" w:ascii="宋体" w:hAnsi="宋体" w:eastAsia="宋体" w:cs="宋体"/>
                <w:b/>
                <w:color w:val="auto"/>
                <w:sz w:val="24"/>
                <w:highlight w:val="none"/>
              </w:rPr>
              <w:t>项目综合说明：</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隆林各族自治县中医医院车载式呼吸机（有创）采购项目</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LLXZYYY20250045</w:t>
            </w:r>
          </w:p>
          <w:p>
            <w:pPr>
              <w:rPr>
                <w:rFonts w:ascii="宋体" w:hAnsi="宋体" w:eastAsia="宋体" w:cs="宋体"/>
                <w:color w:val="auto"/>
                <w:sz w:val="24"/>
                <w:highlight w:val="none"/>
              </w:rPr>
            </w:pPr>
            <w:r>
              <w:rPr>
                <w:rFonts w:hint="eastAsia" w:ascii="宋体" w:hAnsi="宋体" w:eastAsia="宋体" w:cs="宋体"/>
                <w:color w:val="auto"/>
                <w:sz w:val="24"/>
                <w:highlight w:val="none"/>
              </w:rPr>
              <w:t>项目地点：</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highlight w:val="none"/>
              </w:rPr>
              <w:t xml:space="preserve">      </w:t>
            </w:r>
          </w:p>
          <w:p>
            <w:pPr>
              <w:spacing w:before="240"/>
              <w:rPr>
                <w:rFonts w:ascii="宋体" w:hAnsi="宋体" w:eastAsia="宋体" w:cs="宋体"/>
                <w:color w:val="auto"/>
                <w:sz w:val="24"/>
                <w:highlight w:val="none"/>
              </w:rPr>
            </w:pPr>
            <w:r>
              <w:rPr>
                <w:rFonts w:hint="eastAsia" w:ascii="宋体" w:hAnsi="宋体" w:eastAsia="宋体" w:cs="宋体"/>
                <w:color w:val="auto"/>
                <w:sz w:val="24"/>
                <w:highlight w:val="none"/>
              </w:rPr>
              <w:t>交货期：合同签订之日起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0日内完成供货，调试，通过验收并交付使用。</w:t>
            </w:r>
          </w:p>
          <w:p>
            <w:pPr>
              <w:spacing w:before="240" w:line="360" w:lineRule="auto"/>
              <w:rPr>
                <w:rFonts w:ascii="宋体" w:hAnsi="宋体" w:eastAsia="宋体" w:cs="宋体"/>
                <w:color w:val="auto"/>
                <w:sz w:val="24"/>
                <w:szCs w:val="24"/>
                <w:highlight w:val="none"/>
              </w:rPr>
            </w:pPr>
            <w:r>
              <w:rPr>
                <w:rFonts w:hint="eastAsia" w:ascii="宋体" w:hAnsi="宋体" w:eastAsia="宋体" w:cs="宋体"/>
                <w:color w:val="auto"/>
                <w:spacing w:val="2"/>
                <w:sz w:val="24"/>
                <w:highlight w:val="none"/>
              </w:rPr>
              <w:t>项目基本概况</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拟采购</w:t>
            </w:r>
            <w:r>
              <w:rPr>
                <w:rFonts w:hint="eastAsia" w:ascii="宋体" w:hAnsi="宋体" w:eastAsia="宋体" w:cs="宋体"/>
                <w:color w:val="auto"/>
                <w:sz w:val="24"/>
                <w:szCs w:val="24"/>
                <w:highlight w:val="none"/>
                <w:u w:val="none"/>
                <w:lang w:eastAsia="zh-CN"/>
              </w:rPr>
              <w:t>车载式呼吸机（有创）</w:t>
            </w:r>
            <w:r>
              <w:rPr>
                <w:rFonts w:hint="eastAsia" w:ascii="宋体" w:hAnsi="宋体" w:eastAsia="宋体" w:cs="宋体"/>
                <w:color w:val="auto"/>
                <w:sz w:val="24"/>
                <w:highlight w:val="none"/>
              </w:rPr>
              <w:t>。如需近一步了解，详见竞争性谈判采购文件。</w:t>
            </w:r>
          </w:p>
        </w:tc>
      </w:tr>
      <w:tr>
        <w:tblPrEx>
          <w:tblCellMar>
            <w:top w:w="0" w:type="dxa"/>
            <w:left w:w="108" w:type="dxa"/>
            <w:bottom w:w="0" w:type="dxa"/>
            <w:right w:w="108" w:type="dxa"/>
          </w:tblCellMar>
        </w:tblPrEx>
        <w:trPr>
          <w:trHeight w:val="566"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资金来源：2025年中央补助广西医疗服务与保障能力提升资金。</w:t>
            </w:r>
          </w:p>
        </w:tc>
      </w:tr>
      <w:tr>
        <w:tblPrEx>
          <w:tblCellMar>
            <w:top w:w="0" w:type="dxa"/>
            <w:left w:w="108" w:type="dxa"/>
            <w:bottom w:w="0" w:type="dxa"/>
            <w:right w:w="108" w:type="dxa"/>
          </w:tblCellMar>
        </w:tblPrEx>
        <w:trPr>
          <w:trHeight w:val="5810"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供应商资格：</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t>4、单位负责人为同一人或者存在直接控股、管理关系的不同供应商，不得参加同一合同项下的政府采购活动。</w:t>
            </w:r>
          </w:p>
        </w:tc>
      </w:tr>
      <w:tr>
        <w:tblPrEx>
          <w:tblCellMar>
            <w:top w:w="0" w:type="dxa"/>
            <w:left w:w="108" w:type="dxa"/>
            <w:bottom w:w="0" w:type="dxa"/>
            <w:right w:w="108" w:type="dxa"/>
          </w:tblCellMar>
        </w:tblPrEx>
        <w:trPr>
          <w:trHeight w:val="69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现场勘查：</w:t>
            </w:r>
            <w:r>
              <w:rPr>
                <w:rFonts w:hint="eastAsia" w:ascii="宋体" w:hAnsi="宋体" w:eastAsia="宋体" w:cs="宋体"/>
                <w:color w:val="auto"/>
                <w:sz w:val="24"/>
                <w:highlight w:val="none"/>
              </w:rPr>
              <w:t>无。</w:t>
            </w:r>
          </w:p>
        </w:tc>
      </w:tr>
      <w:tr>
        <w:tblPrEx>
          <w:tblCellMar>
            <w:top w:w="0" w:type="dxa"/>
            <w:left w:w="108" w:type="dxa"/>
            <w:bottom w:w="0" w:type="dxa"/>
            <w:right w:w="108" w:type="dxa"/>
          </w:tblCellMar>
        </w:tblPrEx>
        <w:trPr>
          <w:trHeight w:val="77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竞标有效期为：竞标截止之日后60（日历天）。</w:t>
            </w:r>
          </w:p>
        </w:tc>
      </w:tr>
      <w:tr>
        <w:tblPrEx>
          <w:tblCellMar>
            <w:top w:w="0" w:type="dxa"/>
            <w:left w:w="108" w:type="dxa"/>
            <w:bottom w:w="0" w:type="dxa"/>
            <w:right w:w="108" w:type="dxa"/>
          </w:tblCellMar>
        </w:tblPrEx>
        <w:trPr>
          <w:trHeight w:val="70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440" w:lineRule="exact"/>
              <w:rPr>
                <w:rFonts w:ascii="宋体" w:hAnsi="宋体" w:eastAsia="宋体" w:cs="宋体"/>
                <w:color w:val="auto"/>
                <w:sz w:val="24"/>
                <w:szCs w:val="24"/>
                <w:highlight w:val="none"/>
              </w:rPr>
            </w:pPr>
            <w:r>
              <w:rPr>
                <w:rFonts w:hint="eastAsia" w:ascii="宋体" w:hAnsi="宋体" w:eastAsia="宋体" w:cs="宋体"/>
                <w:b/>
                <w:color w:val="auto"/>
                <w:sz w:val="24"/>
                <w:highlight w:val="none"/>
              </w:rPr>
              <w:t>竞标保证金：</w:t>
            </w:r>
            <w:r>
              <w:rPr>
                <w:rFonts w:hint="eastAsia" w:ascii="宋体" w:hAnsi="宋体" w:eastAsia="宋体" w:cs="宋体"/>
                <w:color w:val="auto"/>
                <w:sz w:val="24"/>
                <w:highlight w:val="none"/>
              </w:rPr>
              <w:t>无要求。</w:t>
            </w:r>
          </w:p>
          <w:p>
            <w:pPr>
              <w:ind w:firstLine="480" w:firstLineChars="200"/>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14.4</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响应文件份数</w:t>
            </w:r>
            <w:r>
              <w:rPr>
                <w:rFonts w:hint="eastAsia" w:ascii="宋体" w:hAnsi="宋体" w:eastAsia="宋体" w:cs="宋体"/>
                <w:color w:val="auto"/>
                <w:sz w:val="24"/>
                <w:highlight w:val="none"/>
              </w:rPr>
              <w:t>：正本壹份，副本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tc>
      </w:tr>
      <w:tr>
        <w:tblPrEx>
          <w:tblCellMar>
            <w:top w:w="0" w:type="dxa"/>
            <w:left w:w="108" w:type="dxa"/>
            <w:bottom w:w="0" w:type="dxa"/>
            <w:right w:w="108" w:type="dxa"/>
          </w:tblCellMar>
        </w:tblPrEx>
        <w:trPr>
          <w:trHeight w:val="7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竞标截止时间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详见竞争性谈判公告</w:t>
            </w:r>
          </w:p>
        </w:tc>
      </w:tr>
      <w:tr>
        <w:tblPrEx>
          <w:tblCellMar>
            <w:top w:w="0" w:type="dxa"/>
            <w:left w:w="108" w:type="dxa"/>
            <w:bottom w:w="0" w:type="dxa"/>
            <w:right w:w="108" w:type="dxa"/>
          </w:tblCellMar>
        </w:tblPrEx>
        <w:trPr>
          <w:trHeight w:val="116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16.2</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响应文件递交地点：</w:t>
            </w:r>
            <w:r>
              <w:rPr>
                <w:rFonts w:hint="eastAsia" w:ascii="宋体" w:hAnsi="宋体" w:eastAsia="宋体" w:cs="宋体"/>
                <w:color w:val="auto"/>
                <w:sz w:val="24"/>
                <w:szCs w:val="24"/>
                <w:highlight w:val="none"/>
                <w:u w:val="single"/>
                <w:lang w:eastAsia="zh-CN"/>
              </w:rPr>
              <w:t>隆林各族自治县中医医院</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江那小区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p>
        </w:tc>
      </w:tr>
      <w:tr>
        <w:tblPrEx>
          <w:tblCellMar>
            <w:top w:w="0" w:type="dxa"/>
            <w:left w:w="108" w:type="dxa"/>
            <w:bottom w:w="0" w:type="dxa"/>
            <w:right w:w="108" w:type="dxa"/>
          </w:tblCellMar>
        </w:tblPrEx>
        <w:trPr>
          <w:trHeight w:val="1291"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谈判时间：</w:t>
            </w:r>
            <w:r>
              <w:rPr>
                <w:rFonts w:hint="eastAsia" w:ascii="宋体" w:hAnsi="宋体" w:eastAsia="宋体" w:cs="宋体"/>
                <w:color w:val="auto"/>
                <w:sz w:val="24"/>
                <w:highlight w:val="none"/>
              </w:rPr>
              <w:t>截标后，谈判地点：</w:t>
            </w:r>
            <w:r>
              <w:rPr>
                <w:rFonts w:hint="eastAsia" w:ascii="宋体" w:hAnsi="宋体" w:eastAsia="宋体" w:cs="宋体"/>
                <w:color w:val="auto"/>
                <w:sz w:val="24"/>
                <w:szCs w:val="24"/>
                <w:highlight w:val="none"/>
                <w:u w:val="single"/>
                <w:lang w:eastAsia="zh-CN"/>
              </w:rPr>
              <w:t>隆林各族自治县中医医院</w:t>
            </w:r>
            <w:r>
              <w:rPr>
                <w:rFonts w:hint="eastAsia" w:ascii="宋体" w:hAnsi="宋体" w:eastAsia="宋体" w:cs="宋体"/>
                <w:color w:val="auto"/>
                <w:sz w:val="24"/>
                <w:szCs w:val="24"/>
                <w:highlight w:val="none"/>
                <w:u w:val="single"/>
                <w:lang w:val="en-US" w:eastAsia="zh-CN"/>
              </w:rPr>
              <w:t>会议室</w:t>
            </w:r>
            <w:r>
              <w:rPr>
                <w:rFonts w:hint="eastAsia" w:ascii="宋体" w:hAnsi="宋体" w:eastAsia="宋体" w:cs="宋体"/>
                <w:color w:val="auto"/>
                <w:sz w:val="24"/>
                <w:szCs w:val="24"/>
                <w:highlight w:val="none"/>
                <w:u w:val="single"/>
              </w:rPr>
              <w:t>。</w:t>
            </w:r>
          </w:p>
        </w:tc>
      </w:tr>
      <w:tr>
        <w:tblPrEx>
          <w:tblCellMar>
            <w:top w:w="0" w:type="dxa"/>
            <w:left w:w="108" w:type="dxa"/>
            <w:bottom w:w="0" w:type="dxa"/>
            <w:right w:w="108" w:type="dxa"/>
          </w:tblCellMar>
        </w:tblPrEx>
        <w:trPr>
          <w:trHeight w:val="146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办法</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通过资格性、符合性审查后，在质量和服务均能满足采购文件实质性响应要求的前提下，按最终评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报价</w:t>
            </w:r>
            <w:r>
              <w:rPr>
                <w:rFonts w:hint="eastAsia" w:ascii="宋体" w:hAnsi="宋体" w:eastAsia="宋体" w:cs="宋体"/>
                <w:b/>
                <w:bCs/>
                <w:color w:val="auto"/>
                <w:sz w:val="24"/>
                <w:szCs w:val="24"/>
                <w:highlight w:val="none"/>
              </w:rPr>
              <w:t>由低到高排列成交候选人顺序</w:t>
            </w:r>
            <w:r>
              <w:rPr>
                <w:rFonts w:hint="eastAsia" w:ascii="宋体" w:hAnsi="宋体" w:eastAsia="宋体" w:cs="宋体"/>
                <w:color w:val="auto"/>
                <w:sz w:val="24"/>
                <w:szCs w:val="24"/>
                <w:highlight w:val="none"/>
              </w:rPr>
              <w:t>，并依照次序确定成交人。</w:t>
            </w:r>
          </w:p>
        </w:tc>
      </w:tr>
      <w:tr>
        <w:tblPrEx>
          <w:tblCellMar>
            <w:top w:w="0" w:type="dxa"/>
            <w:left w:w="108" w:type="dxa"/>
            <w:bottom w:w="0" w:type="dxa"/>
            <w:right w:w="108" w:type="dxa"/>
          </w:tblCellMar>
        </w:tblPrEx>
        <w:trPr>
          <w:trHeight w:val="1983"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29.1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ind w:firstLine="482" w:firstLineChars="200"/>
              <w:rPr>
                <w:rFonts w:hint="eastAsia" w:ascii="宋体" w:hAnsi="宋体" w:eastAsia="宋体" w:cs="宋体"/>
                <w:b/>
                <w:color w:val="auto"/>
                <w:sz w:val="24"/>
                <w:highlight w:val="none"/>
              </w:rPr>
            </w:pPr>
          </w:p>
          <w:p>
            <w:pPr>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成交代理服务费：</w:t>
            </w:r>
            <w:r>
              <w:rPr>
                <w:rFonts w:hint="eastAsia" w:ascii="宋体" w:hAnsi="宋体" w:eastAsia="宋体" w:cs="宋体"/>
                <w:b/>
                <w:color w:val="auto"/>
                <w:sz w:val="24"/>
                <w:highlight w:val="none"/>
                <w:lang w:val="en-US" w:eastAsia="zh-CN"/>
              </w:rPr>
              <w:t>无</w:t>
            </w:r>
            <w:r>
              <w:rPr>
                <w:rFonts w:hint="eastAsia" w:ascii="宋体" w:hAnsi="宋体" w:eastAsia="宋体" w:cs="宋体"/>
                <w:color w:val="auto"/>
                <w:sz w:val="24"/>
                <w:szCs w:val="24"/>
                <w:highlight w:val="none"/>
              </w:rPr>
              <w:t>。</w:t>
            </w:r>
          </w:p>
          <w:p>
            <w:pPr>
              <w:pStyle w:val="7"/>
              <w:ind w:left="0" w:leftChars="0" w:firstLine="0" w:firstLineChars="0"/>
              <w:rPr>
                <w:rFonts w:ascii="宋体" w:hAnsi="宋体" w:eastAsia="宋体" w:cs="宋体"/>
                <w:color w:val="auto"/>
                <w:highlight w:val="none"/>
              </w:rPr>
            </w:pPr>
          </w:p>
        </w:tc>
      </w:tr>
    </w:tbl>
    <w:p>
      <w:pPr>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highlight w:val="none"/>
        </w:rPr>
        <w:t>一、总则</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l. 项目综合说明</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 项目的说明见竞标须知前附表（以下称“前附表”）第1项所述。</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2. 资金来源及落实情况</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2.1 本项目的资金来源为</w:t>
      </w:r>
      <w:r>
        <w:rPr>
          <w:rFonts w:hint="eastAsia" w:ascii="宋体" w:hAnsi="宋体" w:eastAsia="宋体" w:cs="宋体"/>
          <w:color w:val="auto"/>
          <w:sz w:val="24"/>
          <w:highlight w:val="none"/>
          <w:u w:val="single"/>
        </w:rPr>
        <w:t>2025年中央补助广西医疗服务与保障能力提升资金 ，资金</w:t>
      </w:r>
      <w:r>
        <w:rPr>
          <w:rFonts w:hint="eastAsia" w:ascii="宋体" w:hAnsi="宋体" w:eastAsia="宋体" w:cs="宋体"/>
          <w:color w:val="auto"/>
          <w:sz w:val="24"/>
          <w:highlight w:val="none"/>
        </w:rPr>
        <w:t>已落实，并将资金用于本项目合同项下的合理支付。</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 供应商资质与合格条件的要求</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4. 语言文字及计量单位</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除专用术语外，与采购有关的语言均使用中文。必要时专用术语应附有中文注释。所有计量均采用中华人民共和国法定计量单位。</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 竞标费用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5.1 供应商准备和参加竞标活动所发生的一切费用自理，不管竞标结果如何，采购人及采购代理机构对上述费用不负任何责任。</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6. 现场勘查 </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6.1 建议供应商自行对项目现场和其周围环境进行现场勘查，以获取有关编制响应文件和签署实施项目合同所需的各种资料。供应商应承担现场勘查的责任和风险。勘查现场的费用由供应商自己承担。</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二、竞争性谈判文件</w:t>
      </w:r>
    </w:p>
    <w:p>
      <w:pPr>
        <w:spacing w:line="44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7. 竞争性谈判文件的组成</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7.1 竞争性谈判文件包括下列内容：</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第一章 竞争性谈判公告</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第二章 竞标须知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第三章 货物需求一览表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第四章  合同协议书</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7.2 除本竞标须知第7.1款所述的竞争性谈判文件内容外，采购人在采购期间、符合法定时间发出的答疑、澄清、修改或补充内容，均是竞争性谈判文件的组成部分，对采购人和供应商起约束作用根据本章第8条、第9条对竞争性谈判文件所作的澄清、修改，构成竞争性谈判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7.3 供应商应认真审阅竞争性谈判文件。如果供应商编制的响应文件不符合竞争性谈判文件的要求，责任由供应商自负。实质上不响应竞争性谈判文件要求的响应文件将被采购人拒绝。</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 竞争性谈判文件的澄清</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8.1 供应商应仔细阅读和检查竞争性谈判文件的全部内容。如发现缺页或附件不全，应及时向采购人或采购代理机构提出，以便补齐。如有疑问，应于购买竞争性谈判文件时间截止后3天内，以书面形式（包括书面文字、传真、电报等，下同），要求采购人或采购代理机构予以澄清。</w:t>
      </w:r>
    </w:p>
    <w:p>
      <w:pPr>
        <w:spacing w:after="0"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竞争性谈判文件的澄清将在竞标截止时间3个工作日前以书面形式发给所有购买竞争性谈判文件的供应商，采购代理机构以书面形式通知所有谈判文件收受人。该澄清的内容为谈判文件的组成部分。但不指明澄清问题的来源。如果澄清发出的时间距竞标截止时间不足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8.3 供应商在收到澄清后，应在收到的同时以书面形式通知采购人或采购代理机构，确认己收到该澄清。</w:t>
      </w:r>
    </w:p>
    <w:p>
      <w:pPr>
        <w:spacing w:after="0" w:line="48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 竞争性谈判文件的修改</w:t>
      </w:r>
    </w:p>
    <w:p>
      <w:pPr>
        <w:pStyle w:val="12"/>
        <w:spacing w:line="480" w:lineRule="exact"/>
        <w:ind w:firstLine="420"/>
        <w:rPr>
          <w:rFonts w:hAnsi="宋体" w:cs="宋体"/>
          <w:color w:val="auto"/>
          <w:sz w:val="24"/>
          <w:szCs w:val="24"/>
          <w:highlight w:val="none"/>
        </w:rPr>
      </w:pPr>
      <w:r>
        <w:rPr>
          <w:rFonts w:hint="eastAsia" w:hAnsi="宋体" w:cs="宋体"/>
          <w:color w:val="auto"/>
          <w:sz w:val="24"/>
          <w:szCs w:val="24"/>
          <w:highlight w:val="none"/>
        </w:rPr>
        <w:t>9.1 在竞标截止时间3个工作日前，采购人可以书面形式修改竞争性谈判文件，采购代理机构对已发出的谈判文件进行必要修改的，在谈判文件要求提交响应文件截止时间3个工作日前，以书面形式通知所有谈判文件收受人。该修改的内容为谈判文件的组成部分。并通知所有已购买竞争性谈判文件的供应商。如果修改竞争性谈判文件的时间距竞标截止时间不足 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9.2 供应商在收到修改内容后，应在收到的同时以书面形式通知采购人或采购代理机构，确认己收到该修改。</w:t>
      </w:r>
    </w:p>
    <w:p>
      <w:pPr>
        <w:spacing w:line="38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三、响应文件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10. 响应文件的组成</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10.1</w:t>
      </w:r>
      <w:r>
        <w:rPr>
          <w:rFonts w:hint="eastAsia" w:ascii="宋体" w:hAnsi="宋体" w:eastAsia="宋体" w:cs="宋体"/>
          <w:color w:val="auto"/>
          <w:sz w:val="24"/>
          <w:highlight w:val="none"/>
        </w:rPr>
        <w:t xml:space="preserve">响应文件应分为报价文件、资格商务技术文件两个部分组成。供应商应仔细阅读采购文件的所有内容，按采购文件的要求，详细编制响应文件。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（1）报价文件：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2）竞标报价表；（必须提供，否则响应文件按无效处理）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3）供应商认为必要提供的声明及文件资料。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（2）资格商务技术文件：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2）法定代表人（负责人）授权委托书和委托代理人身份证复印件（委托代理时必须提供，格式见第六章），法定代表人（负责人）参加谈判时，提供法定代表人（负责人）身份证明书和身份证复印件；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3）供应商有效的加载社会统一代码的营业执照或事业单位法人证书等主体资格证明副本复印件； （必须提供，否则响应文件按无效处理）</w:t>
      </w:r>
    </w:p>
    <w:p>
      <w:pPr>
        <w:spacing w:after="0"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4）供应商依法缴纳税收的相关材料（</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近半年内任意3个月的依法缴纳税收的凭据复印件；依法免税的，必须提供相应文件证明其依法免税。从成立之日起到响应文件提交截止时间止不足要求月数的，只需提供从成立之日起的依法缴纳税收相应证明文件）；（必须提供，否则响应文件按无效处理）</w:t>
      </w:r>
    </w:p>
    <w:p>
      <w:pPr>
        <w:spacing w:after="0" w:line="48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供应商依法缴纳社会保障资金的相关材料[提供近半年内任意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r>
        <w:rPr>
          <w:rFonts w:hint="eastAsia" w:ascii="宋体" w:hAnsi="宋体" w:eastAsia="宋体" w:cs="宋体"/>
          <w:color w:val="auto"/>
          <w:sz w:val="24"/>
          <w:highlight w:val="none"/>
          <w:lang w:eastAsia="zh-CN"/>
        </w:rPr>
        <w:t>）</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12至2025年11月</w:t>
      </w:r>
      <w:r>
        <w:rPr>
          <w:rFonts w:hint="eastAsia" w:ascii="宋体" w:hAnsi="宋体" w:eastAsia="宋体" w:cs="宋体"/>
          <w:color w:val="auto"/>
          <w:sz w:val="24"/>
          <w:highlight w:val="none"/>
        </w:rPr>
        <w:t>财务状况报告复印件（供应商是法人的，或可提供财务报</w:t>
      </w:r>
      <w:r>
        <w:rPr>
          <w:rFonts w:hint="eastAsia" w:ascii="宋体" w:hAnsi="宋体" w:eastAsia="宋体" w:cs="宋体"/>
          <w:color w:val="auto"/>
          <w:sz w:val="24"/>
          <w:highlight w:val="none"/>
          <w:lang w:eastAsia="zh-CN"/>
        </w:rPr>
        <w:t>表</w:t>
      </w:r>
      <w:r>
        <w:rPr>
          <w:rFonts w:hint="eastAsia" w:ascii="宋体" w:hAnsi="宋体" w:eastAsia="宋体" w:cs="宋体"/>
          <w:color w:val="auto"/>
          <w:sz w:val="24"/>
          <w:highlight w:val="none"/>
        </w:rPr>
        <w:t>或其基本开户银行出具的资信证明；供应商是其他组织和自然人的，提供财务报告或者银行出具的资信证明；对于从取得营业执照时间起到提交响应文件截止时间为止不足要求年数的，只需提交取得营业执照之日起至所要求最近月份的财务报</w:t>
      </w:r>
      <w:r>
        <w:rPr>
          <w:rFonts w:hint="eastAsia" w:ascii="宋体" w:hAnsi="宋体" w:eastAsia="宋体" w:cs="宋体"/>
          <w:color w:val="auto"/>
          <w:sz w:val="24"/>
          <w:highlight w:val="none"/>
          <w:lang w:eastAsia="zh-CN"/>
        </w:rPr>
        <w:t>表</w:t>
      </w:r>
      <w:r>
        <w:rPr>
          <w:rFonts w:hint="eastAsia" w:ascii="宋体" w:hAnsi="宋体" w:eastAsia="宋体" w:cs="宋体"/>
          <w:color w:val="auto"/>
          <w:sz w:val="24"/>
          <w:highlight w:val="none"/>
        </w:rPr>
        <w:t>）；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）供应商参加政府采购活动前 3 年内在经营活动中没有重大违法记录的书面声明；（必须提供，否则响应文件按无效处理）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）供应商直接控股、管理关系信息表（必须提供，否则响应文件按无效处理）；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）无串通行为承诺函（必须提供，否则响应文件按无效处理）；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）商务要求偏离表（必须提供，否则响应文件按无效处理）；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）货物配置清单（均不含报价）；（必须提供，否则响应文件按无效处理）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）技术要求偏离表；（必须提供，否则响应文件按无效处理）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）售后服务承诺书（内容可以是提供的切实可行的售后服务和优惠承诺）；（必须提供，否则响应文件按无效处理）</w:t>
      </w:r>
    </w:p>
    <w:p>
      <w:pPr>
        <w:spacing w:after="0"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ascii="Segoe UI" w:hAnsi="Segoe UI" w:eastAsia="Segoe UI" w:cs="Segoe UI"/>
          <w:i w:val="0"/>
          <w:iCs w:val="0"/>
          <w:caps w:val="0"/>
          <w:spacing w:val="0"/>
          <w:sz w:val="24"/>
          <w:szCs w:val="24"/>
          <w:shd w:val="clear" w:fill="FFFFFF"/>
        </w:rPr>
        <w:t>制造商授权书（若供应商为非制造商，必须提供制造商出具的针对本项目的唯一授权书原件；若供应商为制造商，需提供制造商身份证明材料，否则响应文件按无效处理）；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供应商认为需要提供的其他有关资料。（如有请提供）</w:t>
      </w:r>
    </w:p>
    <w:p>
      <w:pPr>
        <w:spacing w:after="0" w:line="480" w:lineRule="exact"/>
        <w:ind w:firstLine="480"/>
        <w:rPr>
          <w:rFonts w:ascii="宋体" w:hAnsi="宋体" w:eastAsia="宋体" w:cs="宋体"/>
          <w:color w:val="auto"/>
          <w:sz w:val="24"/>
          <w:highlight w:val="none"/>
        </w:rPr>
      </w:pPr>
      <w:r>
        <w:rPr>
          <w:rFonts w:hint="eastAsia" w:ascii="宋体" w:hAnsi="宋体" w:cs="宋体"/>
          <w:b/>
          <w:color w:val="auto"/>
          <w:szCs w:val="21"/>
          <w:highlight w:val="none"/>
        </w:rPr>
        <w:t>注：以上标明“必须提供”材料复印件的，必须加盖供应商公章，否则响应文件按无效处理。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 供应商应按照响应文件格式和顺序，自行编制响应文件，响应文件应包含本须知第10.1条中规定的内容，但表格可以按同样格式扩展。</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11. 竞标报价</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11.1响应文件中的报价均采用人民币表示。</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b/>
          <w:color w:val="auto"/>
          <w:sz w:val="24"/>
          <w:szCs w:val="24"/>
          <w:highlight w:val="none"/>
        </w:rPr>
        <w:t>2竞标报价为供应商在响应文件中提出的各项支付金额的总和（包含税金及其它所有成本费用的总和）；</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11.3 供应商的竞标报价，应是完成前附表第1项所列的范围及服务期的全部，不得以任何理由予以重复，作为供应商计算竞标报价的依据；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11.4供应商可根据市场行情及自身情况，自行决定其竞标报价。</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12. 竞标有效期</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12.1 在前附表第5项规定的竞标有效期内，供应商不得要求撤销或修改其响应文件。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12.2 出现特殊情况需要延长竞标有效期的，采购人以书面形式通知所有供应商延长竞标有效期。供应商同意延长的，应相应延长其竞标保证金的有效期，但不得要求或被允许修改或撤销其响应文件；供应商拒绝延长的，其报价失效，但供应商有权收回其竞标保证金。</w:t>
      </w:r>
    </w:p>
    <w:p>
      <w:pPr>
        <w:spacing w:line="440" w:lineRule="exact"/>
        <w:rPr>
          <w:rFonts w:ascii="宋体" w:hAnsi="宋体" w:eastAsia="宋体" w:cs="宋体"/>
          <w:color w:val="auto"/>
          <w:sz w:val="24"/>
          <w:szCs w:val="22"/>
          <w:highlight w:val="none"/>
        </w:rPr>
      </w:pPr>
      <w:r>
        <w:rPr>
          <w:rFonts w:hint="eastAsia" w:ascii="宋体" w:hAnsi="宋体" w:eastAsia="宋体" w:cs="宋体"/>
          <w:b/>
          <w:color w:val="auto"/>
          <w:sz w:val="24"/>
          <w:highlight w:val="none"/>
        </w:rPr>
        <w:t>13. 竞标保证金</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szCs w:val="22"/>
          <w:highlight w:val="none"/>
          <w:lang w:val="en-US" w:eastAsia="zh-CN"/>
        </w:rPr>
        <w:t>无</w:t>
      </w:r>
      <w:r>
        <w:rPr>
          <w:rFonts w:hint="eastAsia" w:ascii="宋体" w:hAnsi="宋体" w:eastAsia="宋体" w:cs="宋体"/>
          <w:color w:val="auto"/>
          <w:sz w:val="24"/>
          <w:szCs w:val="22"/>
          <w:highlight w:val="none"/>
        </w:rPr>
        <w:t xml:space="preserve">。   </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14. 响应文件编制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14.1 响应文件应按第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章“响应文件格式”进行编写，如有必要，可以增加附页，作为响应文件的组成部分。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14.2 响应文件应当对竞争性谈判文件有关服务期、竞标有效期、质量要求、技术标准、采购范围等实质性内容作出响应。</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14.3 响应文件应使用不能擦去的墨水书写或打印并加盖单位章，竞争性谈判文件中要求供应商的法定代表人或其委托代理人签字的项目须按要求签字确认。委托代理人签字的，响应文件应附法定代表人签字署名的授权委托书。响应文件应无涂改、行间插字或删除，如果出现上述情况，改动之处应加盖单位章或由供应商的法定代表人或其授权的代理人签字确认。</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14.4 响应文件正本一份，副本份数见前附表第7项要求。正本和副本的封面上应清楚地标记“正本”或“副本”的字样。当副本和正本不一致时，以正本为准。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14.5响应文件的正本与副本应分别装订成册，并编制目录和页码，要求装订标准规范。</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4"/>
          <w:highlight w:val="none"/>
        </w:rPr>
      </w:pPr>
      <w:r>
        <w:rPr>
          <w:rFonts w:hint="eastAsia" w:ascii="宋体" w:hAnsi="宋体" w:eastAsia="宋体" w:cs="宋体"/>
          <w:b/>
          <w:color w:val="auto"/>
          <w:sz w:val="28"/>
          <w:highlight w:val="none"/>
        </w:rPr>
        <w:t>四、竞标</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15. 响应文件的密封和标识</w:t>
      </w:r>
    </w:p>
    <w:p>
      <w:pPr>
        <w:autoSpaceDE w:val="0"/>
        <w:autoSpaceDN w:val="0"/>
        <w:spacing w:line="360" w:lineRule="exact"/>
        <w:ind w:firstLine="488"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 响应文件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份）应密封在一个响应文件袋密封袋中，并在包装封口处盖密封章或供应商公章。</w:t>
      </w:r>
    </w:p>
    <w:p>
      <w:pPr>
        <w:autoSpaceDE w:val="0"/>
        <w:autoSpaceDN w:val="0"/>
        <w:spacing w:line="36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15.2在响应文件密封袋上应写明：</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项目名称：</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项目编号：</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注：在开标时间以前不得开封。</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15.3 未按本章第15.1条或15.2条要求密封和加写标记，作无效竞标处理。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16. 响应文件的递交</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16.1 供应商应在前附表第8项规定的竞标截止时间前递交响应文件。凡逾期送达的响应文件代理机构将不予接收。</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16.2 供应商按前附表第9项规定的地点递交响应文件，并由采购人或采购代理机构签收</w:t>
      </w:r>
      <w:r>
        <w:rPr>
          <w:rFonts w:hint="eastAsia" w:ascii="宋体" w:hAnsi="宋体" w:eastAsia="宋体" w:cs="宋体"/>
          <w:bCs/>
          <w:color w:val="auto"/>
          <w:spacing w:val="2"/>
          <w:sz w:val="24"/>
          <w:highlight w:val="none"/>
        </w:rPr>
        <w:t>。</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16.3 除竞争性谈判文件另有规定外，供应商所递交的响应文件不予退还。</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16.4 未送达指定地点的响应文件，作无效竞标处理。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17. 响应文件的修改和撤回</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在前附表第8项规定的竞标截止时间前，供应商可以修改或撤回已递交的响应文件，但应以书面形式通知采购代理机构。</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17.2 供应商修改或撤回已递交响应文件的书面通知应按照本章第15.3项的要求签字或盖章。采购代理机构收到书面通知后，向供应商出具签收凭证。</w:t>
      </w:r>
    </w:p>
    <w:p>
      <w:pPr>
        <w:spacing w:line="440" w:lineRule="exact"/>
        <w:ind w:firstLine="488"/>
        <w:rPr>
          <w:rFonts w:ascii="宋体" w:hAnsi="宋体" w:eastAsia="宋体" w:cs="宋体"/>
          <w:color w:val="auto"/>
          <w:sz w:val="24"/>
          <w:highlight w:val="none"/>
        </w:rPr>
      </w:pPr>
      <w:r>
        <w:rPr>
          <w:rFonts w:hint="eastAsia" w:ascii="宋体" w:hAnsi="宋体" w:eastAsia="宋体" w:cs="宋体"/>
          <w:color w:val="auto"/>
          <w:spacing w:val="2"/>
          <w:sz w:val="24"/>
          <w:highlight w:val="none"/>
        </w:rPr>
        <w:t>17.3 修改的内容为响应文件的组成部分。</w:t>
      </w:r>
    </w:p>
    <w:p>
      <w:pPr>
        <w:rPr>
          <w:rFonts w:ascii="宋体" w:hAnsi="宋体" w:eastAsia="宋体" w:cs="宋体"/>
          <w:color w:val="auto"/>
          <w:highlight w:val="none"/>
        </w:rPr>
      </w:pPr>
    </w:p>
    <w:p>
      <w:pPr>
        <w:spacing w:line="380" w:lineRule="exact"/>
        <w:ind w:firstLine="478" w:firstLineChars="195"/>
        <w:jc w:val="center"/>
        <w:outlineLvl w:val="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五、开标</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18、开标</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18.l</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将在前附表第10项规定的时间和地点组织谈判，参加谈判的法定代表人或其授权委托人必须持有效证件</w:t>
      </w:r>
      <w:r>
        <w:rPr>
          <w:rFonts w:hint="eastAsia" w:ascii="宋体" w:hAnsi="宋体" w:eastAsia="宋体" w:cs="宋体"/>
          <w:b/>
          <w:bCs/>
          <w:color w:val="auto"/>
          <w:sz w:val="24"/>
          <w:szCs w:val="24"/>
          <w:highlight w:val="none"/>
        </w:rPr>
        <w:t>[①法人身份证原件或授权委托书和委托代理人身份证原件；②营业执照复印件]</w:t>
      </w:r>
      <w:r>
        <w:rPr>
          <w:rFonts w:hint="eastAsia" w:ascii="宋体" w:hAnsi="宋体" w:eastAsia="宋体" w:cs="宋体"/>
          <w:color w:val="auto"/>
          <w:sz w:val="24"/>
          <w:szCs w:val="24"/>
          <w:highlight w:val="none"/>
        </w:rPr>
        <w:t>依时到达指定地点等候当面谈判 (上述材料未注明原件的为复印件，所有复印件必须加盖竞标单位公章.)依时到达现场等候参加谈判，并自觉接受核验上述证件。以上要求出示</w:t>
      </w:r>
      <w:r>
        <w:rPr>
          <w:rFonts w:hint="eastAsia" w:ascii="宋体" w:hAnsi="宋体" w:eastAsia="宋体" w:cs="宋体"/>
          <w:color w:val="auto"/>
          <w:spacing w:val="2"/>
          <w:sz w:val="24"/>
          <w:szCs w:val="24"/>
          <w:highlight w:val="none"/>
        </w:rPr>
        <w:t>证明材料如缺项或无效的</w:t>
      </w:r>
      <w:r>
        <w:rPr>
          <w:rFonts w:hint="eastAsia" w:ascii="宋体" w:hAnsi="宋体" w:eastAsia="宋体" w:cs="宋体"/>
          <w:color w:val="auto"/>
          <w:sz w:val="24"/>
          <w:szCs w:val="24"/>
          <w:highlight w:val="none"/>
        </w:rPr>
        <w:t>将视为竞标无效</w:t>
      </w:r>
      <w:r>
        <w:rPr>
          <w:rFonts w:hint="eastAsia" w:ascii="宋体" w:hAnsi="宋体" w:eastAsia="宋体" w:cs="宋体"/>
          <w:color w:val="auto"/>
          <w:spacing w:val="2"/>
          <w:sz w:val="24"/>
          <w:szCs w:val="24"/>
          <w:highlight w:val="none"/>
        </w:rPr>
        <w:t>，该供应商的响应文件当场退回。</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18.2开标会议由采购代理机构组织并主持，在</w:t>
      </w:r>
      <w:r>
        <w:rPr>
          <w:rFonts w:hint="eastAsia" w:ascii="宋体" w:hAnsi="宋体" w:eastAsia="宋体" w:cs="宋体"/>
          <w:color w:val="auto"/>
          <w:spacing w:val="2"/>
          <w:sz w:val="24"/>
          <w:szCs w:val="24"/>
          <w:highlight w:val="none"/>
          <w:u w:val="single"/>
        </w:rPr>
        <w:t>相关监督部门</w:t>
      </w:r>
      <w:r>
        <w:rPr>
          <w:rFonts w:hint="eastAsia" w:ascii="宋体" w:hAnsi="宋体" w:eastAsia="宋体" w:cs="宋体"/>
          <w:color w:val="auto"/>
          <w:spacing w:val="2"/>
          <w:sz w:val="24"/>
          <w:szCs w:val="24"/>
          <w:highlight w:val="none"/>
        </w:rPr>
        <w:t>监督下，对响应文件进行检查，确认它们是否完整，文件签署是否正确，以及是否按本须知编制。但按规定提交了合格撤回通知的响应文件不予开封。</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18.3谈判会议程序</w:t>
      </w:r>
    </w:p>
    <w:p>
      <w:pPr>
        <w:spacing w:line="380" w:lineRule="exact"/>
        <w:ind w:firstLine="468" w:firstLine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18.3.1　</w:t>
      </w:r>
      <w:r>
        <w:rPr>
          <w:rFonts w:hint="eastAsia" w:ascii="宋体" w:hAnsi="宋体" w:eastAsia="宋体" w:cs="宋体"/>
          <w:color w:val="auto"/>
          <w:spacing w:val="2"/>
          <w:sz w:val="24"/>
          <w:szCs w:val="24"/>
          <w:highlight w:val="none"/>
        </w:rPr>
        <w:t>⑴ 采购代理机构主持人宣布会议开始；</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⑵介绍参加谈判会议人员名单；</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⑶</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和监标人员一同检验参加竞标会的各竞标单位法定代表人或其委托代理人（按18.1检查）的资格证件，对无资格证件、证件不齐</w:t>
      </w:r>
      <w:r>
        <w:rPr>
          <w:rFonts w:hint="eastAsia" w:ascii="宋体" w:hAnsi="宋体" w:eastAsia="宋体" w:cs="宋体"/>
          <w:color w:val="auto"/>
          <w:sz w:val="24"/>
          <w:szCs w:val="24"/>
          <w:highlight w:val="none"/>
        </w:rPr>
        <w:t>或无效</w:t>
      </w:r>
      <w:r>
        <w:rPr>
          <w:rFonts w:hint="eastAsia" w:ascii="宋体" w:hAnsi="宋体" w:eastAsia="宋体" w:cs="宋体"/>
          <w:color w:val="auto"/>
          <w:spacing w:val="2"/>
          <w:sz w:val="24"/>
          <w:szCs w:val="24"/>
          <w:highlight w:val="none"/>
        </w:rPr>
        <w:t>的响应文件按无效标处理；</w:t>
      </w:r>
      <w:r>
        <w:rPr>
          <w:rFonts w:hint="eastAsia" w:ascii="宋体" w:hAnsi="宋体" w:eastAsia="宋体" w:cs="宋体"/>
          <w:color w:val="auto"/>
          <w:sz w:val="24"/>
          <w:szCs w:val="24"/>
          <w:highlight w:val="none"/>
        </w:rPr>
        <w:t>其响应文件将于开标结束后予以退还。</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⑷采购代理机构当众宣布核查结果，并宣读有效竞标的供应商名称、竞标保证金以及采购代理机构认为需要宣布的其他内容；</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⑸由各竞标单位代表各自检验自己响应文件密封的完整性；</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⑹由</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 xml:space="preserve">和监标人员一同检验清点核对响应文件密封情况是否完整，文件签署是否正确，并宣读核查结果，请竞标供应商书面确认后退场。竞标供应商退场后移步谈判等候区，等待下一阶段的技术方案谈判及商务谈判。 </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(7)宣布谈判与</w:t>
      </w:r>
      <w:r>
        <w:rPr>
          <w:rFonts w:hint="eastAsia" w:ascii="宋体" w:hAnsi="宋体" w:eastAsia="宋体" w:cs="宋体"/>
          <w:color w:val="auto"/>
          <w:spacing w:val="2"/>
          <w:sz w:val="24"/>
          <w:szCs w:val="24"/>
          <w:highlight w:val="none"/>
          <w:lang w:eastAsia="zh-CN"/>
        </w:rPr>
        <w:t>评审</w:t>
      </w:r>
      <w:r>
        <w:rPr>
          <w:rFonts w:hint="eastAsia" w:ascii="宋体" w:hAnsi="宋体" w:eastAsia="宋体" w:cs="宋体"/>
          <w:color w:val="auto"/>
          <w:spacing w:val="2"/>
          <w:sz w:val="24"/>
          <w:szCs w:val="24"/>
          <w:highlight w:val="none"/>
        </w:rPr>
        <w:t>期间的有关事项；</w:t>
      </w:r>
    </w:p>
    <w:p>
      <w:pPr>
        <w:spacing w:line="360" w:lineRule="auto"/>
        <w:ind w:firstLine="488" w:firstLineChars="200"/>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8）开标会议结束；</w:t>
      </w:r>
    </w:p>
    <w:p>
      <w:pPr>
        <w:spacing w:line="360" w:lineRule="auto"/>
        <w:ind w:firstLine="480" w:firstLineChars="200"/>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18.3.2</w:t>
      </w:r>
      <w:r>
        <w:rPr>
          <w:rFonts w:hint="eastAsia" w:ascii="宋体" w:hAnsi="宋体" w:eastAsia="宋体" w:cs="宋体"/>
          <w:color w:val="auto"/>
          <w:spacing w:val="2"/>
          <w:sz w:val="24"/>
          <w:szCs w:val="24"/>
          <w:highlight w:val="none"/>
        </w:rPr>
        <w:t>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①出席评审的有关人员为谈判小组成员。竞标单位在谈判期间提交的密封的所有响应文件须经谈判小组成员和监督人员同时验证后方能拆封，任何个人不得私自拆封。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②谈判时，竞标单位的法人代表或委托代理人必须参加谈判。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谈判小组通过对各竞标单位的响应文件进行初步审查后，谈判双方以竞争性谈判条件为依据，由竞标单位对提交的响应文件及服务承诺等做出陈述。谈判小组将根据竞标单位的响应文件、陈述尚未明晰或需要进一步了解的细节列出与各竞标单位谈判的提纲并向竞标单位询问，竞标单位应依次对谈判小组提出的问题做出答复，必要时要求竞标单位对其竞标内容、补充方案或修改意见做出书面澄清。同时代理机构工作人员对谈判内容做好记录并将此记录交由谈判小组及竞标单位核实，核实无误后由竞标单位代表签字作为书面应答文件（将作为合同的组成部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④二次报价：</w:t>
      </w:r>
      <w:r>
        <w:rPr>
          <w:rFonts w:hint="eastAsia" w:ascii="宋体" w:hAnsi="宋体" w:eastAsia="宋体" w:cs="宋体"/>
          <w:bCs/>
          <w:color w:val="auto"/>
          <w:sz w:val="24"/>
          <w:szCs w:val="24"/>
          <w:highlight w:val="none"/>
        </w:rPr>
        <w:t>谈判小组应在商务、技术和服务条件谈判后，邀请能满足采购文件所规定实质性要求的质量和服务的所有供应商进行二次报价。</w:t>
      </w:r>
    </w:p>
    <w:p>
      <w:pPr>
        <w:spacing w:line="380" w:lineRule="exact"/>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18.4谈判原则</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18.4.1、必须公平、公正、客观，不带任何倾向性和启发性；</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18.4.2、谈判人员不得向外界透露任何与谈判有关的内容； </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18.4.3、任何单位和个人不得干扰、影响谈判的正常进行；</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18.4.4、谈判人员不得私下与竞标单位接触。</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   响应文件有下列情况之一者将视为竞标无效：</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.5.1 响应文件未按规定封装、密封；</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.5.2 竞标单位法定代表人或其委托代理人未签字；</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.5.3 竞标单位未加盖单位公章；</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.5.4 未按规定的格式填写或者字迹模糊、辨认不清；</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.5.5 供应商未按竞争性谈判文件的规定递交竞标保证金的；</w:t>
      </w:r>
    </w:p>
    <w:p>
      <w:pPr>
        <w:spacing w:line="380" w:lineRule="exact"/>
        <w:ind w:left="908" w:leftChars="200" w:hanging="468" w:hanging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.5.6 供应商法定代表人或授权代表未按时参加开标会议的；</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.5.7 竞标截止时间以后送达的响应文件；</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.5.8 响应文件内容不真实；</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18.5.9 </w:t>
      </w:r>
      <w:r>
        <w:rPr>
          <w:rFonts w:hint="eastAsia" w:ascii="宋体" w:hAnsi="宋体" w:eastAsia="宋体" w:cs="宋体"/>
          <w:color w:val="auto"/>
          <w:spacing w:val="2"/>
          <w:sz w:val="24"/>
          <w:szCs w:val="24"/>
          <w:highlight w:val="none"/>
        </w:rPr>
        <w:t>响应文件不满足供应商最低资质等级和</w:t>
      </w:r>
      <w:r>
        <w:rPr>
          <w:rFonts w:hint="eastAsia" w:ascii="宋体" w:hAnsi="宋体" w:eastAsia="宋体" w:cs="宋体"/>
          <w:color w:val="auto"/>
          <w:sz w:val="24"/>
          <w:szCs w:val="24"/>
          <w:highlight w:val="none"/>
        </w:rPr>
        <w:t>营业执照要求。</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18.5.10供应商营业执照等资格文件不符合要求及复印件未加盖供应商公章的。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18.5.11超出采购控制价的。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18.5.12不符合法律法规规定的及竞争性谈判文件其它实质性内容的。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18.6至竞标截止时间止，递交响应文件的竞标单位不足三家时，本项目不予开标作废标处理，需要采取其他方式采购的，应当在采购活动开始前获得设区的市、自治州以上人民政府采购监督管理部门或者政府有关部门批准。</w:t>
      </w:r>
    </w:p>
    <w:p>
      <w:pPr>
        <w:spacing w:line="380" w:lineRule="exact"/>
        <w:ind w:firstLine="468" w:firstLineChars="195"/>
        <w:jc w:val="center"/>
        <w:outlineLvl w:val="2"/>
        <w:rPr>
          <w:rFonts w:ascii="宋体" w:hAnsi="宋体" w:eastAsia="宋体" w:cs="宋体"/>
          <w:color w:val="auto"/>
          <w:sz w:val="24"/>
          <w:szCs w:val="24"/>
          <w:highlight w:val="none"/>
        </w:rPr>
      </w:pPr>
    </w:p>
    <w:p>
      <w:pPr>
        <w:spacing w:line="380" w:lineRule="exact"/>
        <w:ind w:firstLine="470" w:firstLineChars="195"/>
        <w:jc w:val="center"/>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  审</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19、评审内容的保密</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进入评审后，直到宣布授予成交人合同为止，凡属于审查、澄清、评价和比较竞标的有关资料及有关授予合同的信息，都不应向供应商或与评审无关的其他人泄露。</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在响应文件的审查、澄清、评价和比较以及授予合同的过程中，供应商对谈判小组成员施加影响的任何行为，都将导致被取消竞标资格。</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20、资格审查</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20.1本项目资格审查采用资格后审，参加本次竞标的单位均要通过资格审查才能获得竞标资格。</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20.2资格审查内容为：</w:t>
      </w:r>
      <w:r>
        <w:rPr>
          <w:rFonts w:hint="eastAsia" w:ascii="宋体" w:hAnsi="宋体" w:eastAsia="宋体" w:cs="宋体"/>
          <w:color w:val="auto"/>
          <w:spacing w:val="2"/>
          <w:sz w:val="24"/>
          <w:szCs w:val="24"/>
          <w:highlight w:val="none"/>
        </w:rPr>
        <w:t>按10.3条款资格审查部分内容审查，要求资料齐全和有效</w:t>
      </w:r>
      <w:r>
        <w:rPr>
          <w:rFonts w:hint="eastAsia" w:ascii="宋体" w:hAnsi="宋体" w:eastAsia="宋体" w:cs="宋体"/>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21、响应文件的符合性鉴定</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在谈判之后详细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之前，谈判小组将首先与供应商就响应文件中不清楚的内容进行谈判及澄清，然后将依据谈判及澄清的内容审定每份响应文件是否在实质上响应了竞争性谈判文件的要求。</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就本条款而言，实质上响应要求的响应文件，应该与竞争性谈判文件的所规定资格条件、技术参数产生实质性影响；或者对合同中规定的采购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的权力及供应商的责任造成实质性限制。</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22、响应文件的澄清</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为了有助于响应文件的审查、评价和比较，谈判小组可以个别地要求供应商澄清其响应文件。有关澄清的要求与答复，应以书面形式进行。</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23、错误的修正</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23.1谈判小组将对确定为实质上响应竞争性谈判文件要求的响应文件进行校核，看其是否有计算上或累计上的算术错误，修正错误的原则如下：</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23.1.1 如果用阿拉伯数字表示的数额与用汉语文字表示的数额（人民币大写）不一致时，以汉语文字数额（人民币大写）为准。</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23.1.2 当单价与合价之间不一致时，以标出的单价为准。除非谈判小组或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小组认为有明显的小数点错位，此时应以标出的合价为准，并修改单价。</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按上述修改错误的方法，调整竞标书中的竞标报价。经供应商确认同意后，调整后的报价对供应商起约束作用。如果供应商不接受修正后的竞标报价则其竞标将被拒绝，视为无效竞标。</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 响应文件正本与响应文件副本不符的以正本为准。</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24、响应文件的评价与比较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24.1谈判小组将仅对响应文件组成第10条确定为实质上响应竞争性谈判文件要求（即符合性鉴定合格）的响应文件进行评价与比较。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谈判小组将依照响应文件组成第10条对通过符合性鉴定的响应文件的竞标报价进行校核与修正。</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25、评审办法 </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25.1、评审原则</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(1)谈判小组构成：</w:t>
      </w:r>
      <w:r>
        <w:rPr>
          <w:rFonts w:hint="eastAsia" w:ascii="宋体" w:hAnsi="宋体" w:eastAsia="宋体" w:cs="宋体"/>
          <w:bCs/>
          <w:color w:val="auto"/>
          <w:sz w:val="24"/>
          <w:szCs w:val="24"/>
          <w:highlight w:val="none"/>
        </w:rPr>
        <w:t>本采购项目</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委员会由采购人</w:t>
      </w:r>
      <w:r>
        <w:rPr>
          <w:rFonts w:hint="eastAsia" w:ascii="宋体" w:hAnsi="宋体" w:eastAsia="宋体" w:cs="宋体"/>
          <w:bCs/>
          <w:color w:val="auto"/>
          <w:sz w:val="24"/>
          <w:szCs w:val="24"/>
          <w:highlight w:val="none"/>
          <w:lang w:val="en-US" w:eastAsia="zh-CN"/>
        </w:rPr>
        <w:t>随机抽取</w:t>
      </w:r>
      <w:r>
        <w:rPr>
          <w:rFonts w:hint="eastAsia" w:ascii="宋体" w:hAnsi="宋体" w:eastAsia="宋体" w:cs="宋体"/>
          <w:bCs/>
          <w:color w:val="auto"/>
          <w:sz w:val="24"/>
          <w:szCs w:val="24"/>
          <w:highlight w:val="none"/>
        </w:rPr>
        <w:t>共3人以上单数组成，其中评审专家人数不得少于</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委员会成员总数的2/3。</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(2)评审依据：谈判小组将以竞争性谈判文件和响应文件为评定依据进行评审。</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25.2、评审方法</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（1）初步评审：谈判小组应当按照客观、公正、审慎的原则，根据采购文件规定的评审程序、评审方法和评审标准进行独立</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谈判小组对商务文件进行符合性鉴定，对实质上不响应竞争性谈判文件要求的竞标予以拒绝；谈判小组对竞标单位资格文件进行资格鉴定，对资格审查不响应竞争性谈判文件要求的竞标予以拒绝，对技术标进行评审，技术标评审按可行与不可行来评定，对技术标不可行的竞标予以拒绝。未实质性响应谈判文件的响应文件按无效处理，谈判小组应当告知有关供应商。谈判小组对响应文件的有效性、完整性和响应程度进行审查，记录有关情况，并拟定谈判策略，提出谈判问题。项目审查期间，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事务由依法组建的谈判小组负责,采购代理机构全程回避。</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正式谈判：谈判小组所有成员根据谈判策略，集中与通过初步评审的供应商分别进行谈判，并给予所有参加谈判的供应商平等的谈判机会，分别与每个供应商就技术、报价组成和合同条款等进行充分的谈判，确定供应商所提供的产品质量和服务是否能满足采购文件规定的实质性要求。谈判期间，相关监督部门对谈判过程全程进行监督，具体谈判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委员会负责,采购代理机构进行相关谈判记录。现场监督人员及采购代理机构的工作人员应当遵守</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现场工作纪律，不能出现越权行使</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委员会的权利，代替评委进行</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工作发表任何倾向性意见、向其他专家评委明示或者暗示自己的意见及其他干扰</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工作的行为，及政府采购法相关法律法规禁止出现的行为。</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二次报价邀请：谈判小组应在商务、技术和服务条件谈判后，邀请能满足采购文件所规定实质性要求的质量和服务的所有供应商进行二次报价，并告知供应商二次报价截止时间及二次报价文件编写有关规范。原则上，二次报价为最终报价。</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25.3、在评审过程中，商务标评委发现供应商的最后报价明显低于其他供应商的最后报价或者明显低于本项目采购控制价，使得其竞标可能低于其个别成本的，应当要求供应商作出书面说明并提供相关证明材料；供应商不能合理说明或者不能提供相关证明材料的，由商务标评委认定该竞标以低于其企业成本报价，其竞标作废标处理。</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25.4、成交候选人推荐原则</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（1）谈判小组应按照客观、公正、审慎的原则，根据竞争性谈判文件规定的评审程序、评审方法和评审标准进行独立评审。评审委员会应根据质量和服务均能满足采购文件实质性响应要求的前提下，按 “设备最终报价 + 1 年常用耗材预估成本” 的合计金额由低到高排序（1 年常用耗材预估量按医院临床常规使用量计算，如一次性射频刀头 </w:t>
      </w:r>
      <w:r>
        <w:rPr>
          <w:rFonts w:hint="eastAsia" w:ascii="宋体" w:hAnsi="宋体" w:eastAsia="宋体" w:cs="宋体"/>
          <w:b/>
          <w:bCs/>
          <w:color w:val="auto"/>
          <w:sz w:val="24"/>
          <w:szCs w:val="24"/>
          <w:highlight w:val="none"/>
          <w:lang w:val="en-US" w:eastAsia="zh-CN"/>
        </w:rPr>
        <w:t>100</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bCs/>
          <w:color w:val="auto"/>
          <w:sz w:val="24"/>
          <w:szCs w:val="24"/>
          <w:highlight w:val="none"/>
        </w:rPr>
        <w:t xml:space="preserve"> / 年），</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报价由低到高提出3名以上成交候选供应商，并编写评审报告。</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（2）现场校对及提醒。</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招标代理机构工作人员要对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数据进行校对、核对，对资格性审查认定错误的，分值汇总计算错误的，分项评分超出评分标准范围的，对客观评分因素评分不一致的，畸高、畸低的重大差异评分的可以提示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委员会复核或书面说明理由。应提醒</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委员会对评分汇总情况进行复核，特别是对排名第一的、报价最低的、投标或相应文件被认定为无效的情形，应对其商务、服务、技术及价格等各方面情况进行重点复核。</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竞争性谈判过程中出现多家供应商</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价最低且相同时，应组织</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价最低的供应商只对价格重新报价，直至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价最低供应商仅为一家。</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工作由采购代理机构负责组织，具体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委员会负责。根据</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委员会的要求组织供应商澄清，</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委员会对投标文件中含义不明确、同类问题表述不一致或者有明显文字和计算错误的内容，可以书面形式要求投标供应商作出必要的澄清、说明或者纠正。</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szCs w:val="24"/>
          <w:highlight w:val="none"/>
        </w:rPr>
        <w:t>25.5本项目是以政府采购预算价为最高限价，当供应商的最终竞标报价超出</w:t>
      </w:r>
      <w:r>
        <w:rPr>
          <w:rFonts w:hint="eastAsia" w:ascii="宋体" w:hAnsi="宋体" w:eastAsia="宋体" w:cs="宋体"/>
          <w:color w:val="auto"/>
          <w:sz w:val="24"/>
          <w:szCs w:val="24"/>
          <w:highlight w:val="none"/>
          <w:lang w:val="en-US" w:eastAsia="zh-CN"/>
        </w:rPr>
        <w:t>我院</w:t>
      </w:r>
      <w:r>
        <w:rPr>
          <w:rFonts w:hint="eastAsia" w:ascii="宋体" w:hAnsi="宋体" w:eastAsia="宋体" w:cs="宋体"/>
          <w:color w:val="auto"/>
          <w:sz w:val="24"/>
          <w:szCs w:val="24"/>
          <w:highlight w:val="none"/>
        </w:rPr>
        <w:t>采购预算价时，采购人不能支付的，谈判小组对其响应文件将不予以评审。</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设备</w:t>
      </w:r>
      <w:r>
        <w:rPr>
          <w:rFonts w:hint="eastAsia" w:ascii="宋体" w:hAnsi="宋体" w:eastAsia="宋体" w:cs="宋体"/>
          <w:b/>
          <w:color w:val="auto"/>
          <w:sz w:val="24"/>
          <w:szCs w:val="24"/>
          <w:highlight w:val="none"/>
        </w:rPr>
        <w:t>采购预算价为：</w:t>
      </w:r>
      <w:r>
        <w:rPr>
          <w:rFonts w:hint="eastAsia" w:ascii="宋体" w:hAnsi="宋体" w:eastAsia="宋体" w:cs="宋体"/>
          <w:b/>
          <w:color w:val="auto"/>
          <w:sz w:val="24"/>
          <w:szCs w:val="24"/>
          <w:highlight w:val="none"/>
          <w:u w:val="single"/>
          <w:lang w:eastAsia="zh-CN"/>
        </w:rPr>
        <w:t>人民币拾伍万元整（¥：150000.00）</w:t>
      </w:r>
      <w:r>
        <w:rPr>
          <w:rFonts w:hint="eastAsia" w:ascii="宋体" w:hAnsi="宋体" w:eastAsia="宋体" w:cs="宋体"/>
          <w:b/>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26. </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内容的保密</w:t>
      </w:r>
    </w:p>
    <w:p>
      <w:pPr>
        <w:spacing w:line="440" w:lineRule="exact"/>
        <w:ind w:firstLine="48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.1 在</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活动中，凡属于审查、澄清、评价和比较竞标的有关资料及有关授予合同的信息，都不应向供应商或与</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无关的其他人泄露。</w:t>
      </w:r>
    </w:p>
    <w:p>
      <w:pPr>
        <w:spacing w:line="440" w:lineRule="exact"/>
        <w:ind w:firstLine="36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.2 在响应文件的审查、澄清、评价和比较以及授予合同的过程中，供应商对采购人和谈判小组成员施加影响的任何行为，都将导致被取消竞标资格。</w:t>
      </w:r>
    </w:p>
    <w:p>
      <w:pPr>
        <w:pStyle w:val="12"/>
        <w:spacing w:line="400" w:lineRule="exact"/>
        <w:outlineLvl w:val="2"/>
        <w:rPr>
          <w:rFonts w:hAnsi="宋体" w:cs="宋体"/>
          <w:b/>
          <w:color w:val="auto"/>
          <w:sz w:val="24"/>
          <w:szCs w:val="24"/>
          <w:highlight w:val="none"/>
        </w:rPr>
      </w:pPr>
      <w:bookmarkStart w:id="9" w:name="_Toc156106957"/>
      <w:bookmarkStart w:id="10" w:name="_Toc300676150"/>
      <w:bookmarkStart w:id="11" w:name="_Toc300675940"/>
      <w:r>
        <w:rPr>
          <w:rFonts w:hint="eastAsia" w:hAnsi="宋体" w:cs="宋体"/>
          <w:b/>
          <w:color w:val="auto"/>
          <w:sz w:val="24"/>
          <w:szCs w:val="24"/>
          <w:highlight w:val="none"/>
        </w:rPr>
        <w:t>27.无效的</w:t>
      </w:r>
      <w:bookmarkEnd w:id="9"/>
      <w:bookmarkEnd w:id="10"/>
      <w:bookmarkEnd w:id="11"/>
      <w:r>
        <w:rPr>
          <w:rFonts w:hint="eastAsia" w:hAnsi="宋体" w:cs="宋体"/>
          <w:b/>
          <w:color w:val="auto"/>
          <w:sz w:val="24"/>
          <w:szCs w:val="24"/>
          <w:highlight w:val="none"/>
        </w:rPr>
        <w:t>响应文件</w:t>
      </w:r>
    </w:p>
    <w:p>
      <w:pPr>
        <w:pStyle w:val="12"/>
        <w:spacing w:line="400" w:lineRule="exact"/>
        <w:ind w:firstLine="420"/>
        <w:rPr>
          <w:rFonts w:hAnsi="宋体" w:cs="宋体"/>
          <w:color w:val="auto"/>
          <w:sz w:val="24"/>
          <w:szCs w:val="24"/>
          <w:highlight w:val="none"/>
        </w:rPr>
      </w:pPr>
      <w:r>
        <w:rPr>
          <w:rFonts w:hint="eastAsia" w:hAnsi="宋体" w:cs="宋体"/>
          <w:color w:val="auto"/>
          <w:sz w:val="24"/>
          <w:szCs w:val="24"/>
          <w:highlight w:val="none"/>
        </w:rPr>
        <w:t>25.1响应文件如出现下列情况之一，将会在</w:t>
      </w:r>
      <w:r>
        <w:rPr>
          <w:rFonts w:hint="eastAsia" w:hAnsi="宋体" w:cs="宋体"/>
          <w:color w:val="auto"/>
          <w:sz w:val="24"/>
          <w:szCs w:val="24"/>
          <w:highlight w:val="none"/>
          <w:lang w:eastAsia="zh-CN"/>
        </w:rPr>
        <w:t>评审</w:t>
      </w:r>
      <w:r>
        <w:rPr>
          <w:rFonts w:hint="eastAsia" w:hAnsi="宋体" w:cs="宋体"/>
          <w:color w:val="auto"/>
          <w:sz w:val="24"/>
          <w:szCs w:val="24"/>
          <w:highlight w:val="none"/>
        </w:rPr>
        <w:t>中按照无效文件处理。</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未按照</w:t>
      </w:r>
      <w:r>
        <w:rPr>
          <w:rFonts w:hint="eastAsia" w:hAnsi="宋体" w:cs="宋体"/>
          <w:bCs/>
          <w:color w:val="auto"/>
          <w:sz w:val="24"/>
          <w:szCs w:val="24"/>
          <w:highlight w:val="none"/>
        </w:rPr>
        <w:t>谈判文件</w:t>
      </w:r>
      <w:r>
        <w:rPr>
          <w:rFonts w:hint="eastAsia" w:hAnsi="宋体" w:cs="宋体"/>
          <w:color w:val="auto"/>
          <w:sz w:val="24"/>
          <w:szCs w:val="24"/>
          <w:highlight w:val="none"/>
        </w:rPr>
        <w:t>规定要求密封、签署、盖章的；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不具备</w:t>
      </w:r>
      <w:r>
        <w:rPr>
          <w:rFonts w:hint="eastAsia" w:hAnsi="宋体" w:cs="宋体"/>
          <w:bCs/>
          <w:color w:val="auto"/>
          <w:sz w:val="24"/>
          <w:szCs w:val="24"/>
          <w:highlight w:val="none"/>
        </w:rPr>
        <w:t>谈判文件</w:t>
      </w:r>
      <w:r>
        <w:rPr>
          <w:rFonts w:hint="eastAsia" w:hAnsi="宋体" w:cs="宋体"/>
          <w:color w:val="auto"/>
          <w:sz w:val="24"/>
          <w:szCs w:val="24"/>
          <w:highlight w:val="none"/>
        </w:rPr>
        <w:t>中规定资格要求的；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不符合法律、法规的；</w:t>
      </w:r>
    </w:p>
    <w:p>
      <w:pPr>
        <w:pStyle w:val="12"/>
        <w:numPr>
          <w:ilvl w:val="0"/>
          <w:numId w:val="2"/>
        </w:numPr>
        <w:spacing w:line="400" w:lineRule="exact"/>
        <w:rPr>
          <w:rFonts w:hAnsi="宋体" w:cs="宋体"/>
          <w:color w:val="auto"/>
          <w:sz w:val="24"/>
          <w:szCs w:val="24"/>
          <w:highlight w:val="none"/>
        </w:rPr>
      </w:pPr>
      <w:r>
        <w:rPr>
          <w:rFonts w:hint="eastAsia" w:hAnsi="宋体" w:cs="宋体"/>
          <w:bCs/>
          <w:color w:val="auto"/>
          <w:sz w:val="24"/>
          <w:szCs w:val="24"/>
          <w:highlight w:val="none"/>
        </w:rPr>
        <w:t>供应商的最终报价超过了采购预算的；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不符合</w:t>
      </w:r>
      <w:r>
        <w:rPr>
          <w:rFonts w:hint="eastAsia" w:hAnsi="宋体" w:cs="宋体"/>
          <w:bCs/>
          <w:color w:val="auto"/>
          <w:sz w:val="24"/>
          <w:szCs w:val="24"/>
          <w:highlight w:val="none"/>
        </w:rPr>
        <w:t>谈判文件</w:t>
      </w:r>
      <w:r>
        <w:rPr>
          <w:rFonts w:hint="eastAsia" w:hAnsi="宋体" w:cs="宋体"/>
          <w:color w:val="auto"/>
          <w:sz w:val="24"/>
          <w:szCs w:val="24"/>
          <w:highlight w:val="none"/>
        </w:rPr>
        <w:t>中规定的其它实质性要求并且在谈判规定的时间内无法说明和补充的；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未按</w:t>
      </w:r>
      <w:r>
        <w:rPr>
          <w:rFonts w:hint="eastAsia" w:hAnsi="宋体" w:cs="宋体"/>
          <w:bCs/>
          <w:color w:val="auto"/>
          <w:sz w:val="24"/>
          <w:szCs w:val="24"/>
          <w:highlight w:val="none"/>
        </w:rPr>
        <w:t>谈判文件</w:t>
      </w:r>
      <w:r>
        <w:rPr>
          <w:rFonts w:hint="eastAsia" w:hAnsi="宋体" w:cs="宋体"/>
          <w:color w:val="auto"/>
          <w:sz w:val="24"/>
          <w:szCs w:val="24"/>
          <w:highlight w:val="none"/>
        </w:rPr>
        <w:t>中提出实质性要求和条件作出完全响应的；</w:t>
      </w:r>
    </w:p>
    <w:p>
      <w:pPr>
        <w:pStyle w:val="12"/>
        <w:numPr>
          <w:ilvl w:val="0"/>
          <w:numId w:val="2"/>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由同一单位或者个人编制；</w:t>
      </w:r>
    </w:p>
    <w:p>
      <w:pPr>
        <w:pStyle w:val="12"/>
        <w:numPr>
          <w:ilvl w:val="0"/>
          <w:numId w:val="2"/>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委托同一单位或者个人办理</w:t>
      </w:r>
      <w:r>
        <w:rPr>
          <w:rFonts w:hint="eastAsia" w:hAnsi="宋体" w:cs="宋体"/>
          <w:color w:val="auto"/>
          <w:sz w:val="24"/>
          <w:szCs w:val="24"/>
          <w:highlight w:val="none"/>
        </w:rPr>
        <w:t>竞标</w:t>
      </w:r>
      <w:r>
        <w:rPr>
          <w:rFonts w:hint="eastAsia" w:hAnsi="宋体" w:cs="宋体"/>
          <w:bCs/>
          <w:color w:val="auto"/>
          <w:sz w:val="24"/>
          <w:szCs w:val="24"/>
          <w:highlight w:val="none"/>
        </w:rPr>
        <w:t>事宜；</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（10）不同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异常一致或者</w:t>
      </w:r>
      <w:r>
        <w:rPr>
          <w:rFonts w:hint="eastAsia" w:hAnsi="宋体" w:cs="宋体"/>
          <w:color w:val="auto"/>
          <w:sz w:val="24"/>
          <w:szCs w:val="24"/>
          <w:highlight w:val="none"/>
        </w:rPr>
        <w:t>竞标</w:t>
      </w:r>
      <w:r>
        <w:rPr>
          <w:rFonts w:hint="eastAsia" w:hAnsi="宋体" w:cs="宋体"/>
          <w:bCs/>
          <w:color w:val="auto"/>
          <w:sz w:val="24"/>
          <w:szCs w:val="24"/>
          <w:highlight w:val="none"/>
        </w:rPr>
        <w:t>报价呈规律性差异；</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（11）不同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相互混装；</w:t>
      </w:r>
    </w:p>
    <w:p>
      <w:pPr>
        <w:pStyle w:val="12"/>
        <w:spacing w:line="400" w:lineRule="exact"/>
        <w:outlineLvl w:val="2"/>
        <w:rPr>
          <w:rFonts w:hAnsi="宋体" w:cs="宋体"/>
          <w:b/>
          <w:color w:val="auto"/>
          <w:sz w:val="24"/>
          <w:szCs w:val="24"/>
          <w:highlight w:val="none"/>
        </w:rPr>
      </w:pPr>
      <w:r>
        <w:rPr>
          <w:rFonts w:hint="eastAsia" w:hAnsi="宋体" w:cs="宋体"/>
          <w:b/>
          <w:color w:val="auto"/>
          <w:sz w:val="24"/>
          <w:szCs w:val="24"/>
          <w:highlight w:val="none"/>
        </w:rPr>
        <w:t xml:space="preserve"> </w:t>
      </w:r>
      <w:bookmarkStart w:id="12" w:name="_Toc300676151"/>
      <w:bookmarkStart w:id="13" w:name="_Toc156106958"/>
      <w:bookmarkStart w:id="14" w:name="_Toc300675941"/>
      <w:r>
        <w:rPr>
          <w:rFonts w:hint="eastAsia" w:hAnsi="宋体" w:cs="宋体"/>
          <w:b/>
          <w:color w:val="auto"/>
          <w:sz w:val="24"/>
          <w:szCs w:val="24"/>
          <w:highlight w:val="none"/>
        </w:rPr>
        <w:t>28.废标</w:t>
      </w:r>
      <w:bookmarkEnd w:id="12"/>
      <w:bookmarkEnd w:id="13"/>
      <w:bookmarkEnd w:id="14"/>
    </w:p>
    <w:p>
      <w:pPr>
        <w:pStyle w:val="12"/>
        <w:spacing w:line="400" w:lineRule="exact"/>
        <w:ind w:firstLine="435"/>
        <w:rPr>
          <w:rFonts w:hAnsi="宋体" w:cs="宋体"/>
          <w:bCs/>
          <w:color w:val="auto"/>
          <w:sz w:val="24"/>
          <w:szCs w:val="24"/>
          <w:highlight w:val="none"/>
        </w:rPr>
      </w:pPr>
      <w:r>
        <w:rPr>
          <w:rFonts w:hint="eastAsia" w:hAnsi="宋体" w:cs="宋体"/>
          <w:bCs/>
          <w:color w:val="auto"/>
          <w:sz w:val="24"/>
          <w:szCs w:val="24"/>
          <w:highlight w:val="none"/>
        </w:rPr>
        <w:t>28.1采购项目出现下列情形之一的，采购代理机构将予以废标：</w:t>
      </w:r>
    </w:p>
    <w:p>
      <w:pPr>
        <w:pStyle w:val="12"/>
        <w:spacing w:line="440" w:lineRule="exact"/>
        <w:ind w:firstLine="435"/>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过程中符合专业条件或者对谈判采购文件作实质响应的供应商不足三家的；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（2）出现影响采购公正的违法、违规行为的；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（3）供应商的最终报价均超出预算价，采购人不能支付的；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（4）因重大变故，采购任务取消的。</w:t>
      </w:r>
    </w:p>
    <w:p>
      <w:pPr>
        <w:pStyle w:val="12"/>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28.2废标后，采购代理机构将把废标理由通知所有供应商。</w:t>
      </w:r>
    </w:p>
    <w:p>
      <w:pPr>
        <w:spacing w:line="44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bookmarkStart w:id="15" w:name="_Toc300676153"/>
      <w:bookmarkStart w:id="16" w:name="_Toc300675943"/>
      <w:bookmarkStart w:id="17" w:name="_Toc156106960"/>
      <w:r>
        <w:rPr>
          <w:rFonts w:hint="eastAsia" w:ascii="宋体" w:hAnsi="宋体" w:eastAsia="宋体" w:cs="宋体"/>
          <w:b/>
          <w:color w:val="auto"/>
          <w:sz w:val="28"/>
          <w:highlight w:val="none"/>
        </w:rPr>
        <w:t>七、合同授予</w:t>
      </w:r>
    </w:p>
    <w:bookmarkEnd w:id="15"/>
    <w:bookmarkEnd w:id="16"/>
    <w:bookmarkEnd w:id="17"/>
    <w:p>
      <w:pPr>
        <w:pStyle w:val="12"/>
        <w:spacing w:line="500" w:lineRule="exact"/>
        <w:outlineLvl w:val="2"/>
        <w:rPr>
          <w:rFonts w:hAnsi="宋体" w:cs="宋体"/>
          <w:b/>
          <w:bCs/>
          <w:color w:val="auto"/>
          <w:sz w:val="24"/>
          <w:szCs w:val="24"/>
          <w:highlight w:val="none"/>
        </w:rPr>
      </w:pPr>
      <w:bookmarkStart w:id="18" w:name="_Toc108836079"/>
      <w:bookmarkStart w:id="19" w:name="_Toc108835668"/>
      <w:bookmarkStart w:id="20" w:name="_Toc30504"/>
      <w:bookmarkStart w:id="21" w:name="_Toc147250388"/>
      <w:bookmarkStart w:id="22" w:name="_Toc300675945"/>
      <w:bookmarkStart w:id="23" w:name="_Toc300676155"/>
      <w:bookmarkStart w:id="24" w:name="_Toc156106962"/>
      <w:bookmarkStart w:id="25" w:name="_Toc147250342"/>
      <w:bookmarkStart w:id="26" w:name="_Toc147250544"/>
      <w:r>
        <w:rPr>
          <w:rFonts w:hint="eastAsia" w:hAnsi="宋体" w:cs="宋体"/>
          <w:b/>
          <w:bCs/>
          <w:color w:val="auto"/>
          <w:sz w:val="24"/>
          <w:szCs w:val="24"/>
          <w:highlight w:val="none"/>
        </w:rPr>
        <w:t>29.合同授予标准</w:t>
      </w:r>
      <w:bookmarkEnd w:id="18"/>
      <w:bookmarkEnd w:id="19"/>
      <w:bookmarkEnd w:id="20"/>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36.1采购人将把合同授予成交人。</w:t>
      </w:r>
    </w:p>
    <w:p>
      <w:pPr>
        <w:pStyle w:val="12"/>
        <w:spacing w:line="500" w:lineRule="exact"/>
        <w:outlineLvl w:val="2"/>
        <w:rPr>
          <w:rFonts w:hAnsi="宋体" w:cs="宋体"/>
          <w:b/>
          <w:bCs/>
          <w:color w:val="auto"/>
          <w:sz w:val="24"/>
          <w:szCs w:val="24"/>
          <w:highlight w:val="none"/>
        </w:rPr>
      </w:pPr>
      <w:bookmarkStart w:id="27" w:name="_Toc29776"/>
      <w:bookmarkStart w:id="28" w:name="_Toc199728729"/>
      <w:r>
        <w:rPr>
          <w:rFonts w:hint="eastAsia" w:hAnsi="宋体" w:cs="宋体"/>
          <w:b/>
          <w:bCs/>
          <w:color w:val="auto"/>
          <w:sz w:val="24"/>
          <w:szCs w:val="24"/>
          <w:highlight w:val="none"/>
        </w:rPr>
        <w:t>30.成交通知书</w:t>
      </w:r>
      <w:bookmarkEnd w:id="27"/>
      <w:bookmarkEnd w:id="28"/>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招标代理机构和采购人在确定成交人后，向成交人发出成交通知。</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30.1 确定出成交人后在竞标有效期截止前，采购人将以书面形式通知成交的供应商其竞标被接受。在该通知书（以下合同条件中称“成交通知书”）中给出采购人对成交人按本合同的成交标价（以下合同条件中称为“合同价格”），以及交货期、质保期等。</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30.2 成交通知书为合同的组成部分。</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30.3 采购人应及时将未成交的结果通知供应商。</w:t>
      </w:r>
    </w:p>
    <w:p>
      <w:pPr>
        <w:pStyle w:val="12"/>
        <w:spacing w:line="500" w:lineRule="exact"/>
        <w:outlineLvl w:val="2"/>
        <w:rPr>
          <w:rFonts w:hAnsi="宋体" w:cs="宋体"/>
          <w:b/>
          <w:color w:val="auto"/>
          <w:sz w:val="24"/>
          <w:szCs w:val="24"/>
          <w:highlight w:val="none"/>
        </w:rPr>
      </w:pPr>
      <w:r>
        <w:rPr>
          <w:rFonts w:hint="eastAsia" w:hAnsi="宋体" w:cs="宋体"/>
          <w:b/>
          <w:bCs/>
          <w:color w:val="auto"/>
          <w:sz w:val="24"/>
          <w:szCs w:val="24"/>
          <w:highlight w:val="none"/>
        </w:rPr>
        <w:t>31.</w:t>
      </w:r>
      <w:r>
        <w:rPr>
          <w:rFonts w:hint="eastAsia" w:hAnsi="宋体" w:cs="宋体"/>
          <w:b/>
          <w:color w:val="auto"/>
          <w:sz w:val="24"/>
          <w:szCs w:val="24"/>
          <w:highlight w:val="none"/>
        </w:rPr>
        <w:t>合同授予标准</w:t>
      </w:r>
      <w:bookmarkEnd w:id="21"/>
      <w:bookmarkEnd w:id="22"/>
      <w:bookmarkEnd w:id="23"/>
      <w:bookmarkEnd w:id="24"/>
      <w:bookmarkEnd w:id="25"/>
      <w:bookmarkEnd w:id="26"/>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31.1合同授予被确定为实质上</w:t>
      </w:r>
      <w:r>
        <w:rPr>
          <w:rFonts w:hint="eastAsia" w:hAnsi="宋体" w:cs="宋体"/>
          <w:color w:val="auto"/>
          <w:sz w:val="24"/>
          <w:szCs w:val="24"/>
          <w:highlight w:val="none"/>
        </w:rPr>
        <w:t>响应谈判文件要</w:t>
      </w:r>
      <w:r>
        <w:rPr>
          <w:rFonts w:hint="eastAsia" w:hAnsi="宋体" w:cs="宋体"/>
          <w:bCs/>
          <w:color w:val="auto"/>
          <w:sz w:val="24"/>
          <w:szCs w:val="24"/>
          <w:highlight w:val="none"/>
        </w:rPr>
        <w:t>求，</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认为具备履行合同能力，报价最低的供应商。</w:t>
      </w:r>
    </w:p>
    <w:p>
      <w:pPr>
        <w:pStyle w:val="12"/>
        <w:spacing w:line="5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31.2 采购人应按照</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报告中推荐的成交候选供应商顺序确定成交供应商。</w:t>
      </w:r>
    </w:p>
    <w:p>
      <w:pPr>
        <w:pStyle w:val="12"/>
        <w:spacing w:line="500" w:lineRule="exact"/>
        <w:ind w:firstLine="420"/>
        <w:rPr>
          <w:rFonts w:hAnsi="宋体" w:cs="宋体"/>
          <w:color w:val="auto"/>
          <w:sz w:val="24"/>
          <w:szCs w:val="24"/>
          <w:highlight w:val="none"/>
        </w:rPr>
      </w:pPr>
      <w:r>
        <w:rPr>
          <w:rFonts w:hint="eastAsia" w:hAnsi="宋体" w:cs="宋体"/>
          <w:bCs/>
          <w:color w:val="auto"/>
          <w:sz w:val="24"/>
          <w:szCs w:val="24"/>
          <w:highlight w:val="none"/>
        </w:rPr>
        <w:t>31</w:t>
      </w:r>
      <w:r>
        <w:rPr>
          <w:rFonts w:hint="eastAsia" w:hAnsi="宋体" w:cs="宋体"/>
          <w:color w:val="auto"/>
          <w:sz w:val="24"/>
          <w:szCs w:val="24"/>
          <w:highlight w:val="none"/>
        </w:rPr>
        <w:t>.3成交供应商因不可抗力或者自身原因不能履行采购合同的，采购人可以合格的成交候选人中另行确定成交供应商，没有合格的成交候选人的，重新开展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p>
    <w:p>
      <w:pPr>
        <w:pStyle w:val="12"/>
        <w:spacing w:line="500" w:lineRule="exact"/>
        <w:outlineLvl w:val="2"/>
        <w:rPr>
          <w:rFonts w:hAnsi="宋体" w:cs="宋体"/>
          <w:color w:val="auto"/>
          <w:sz w:val="24"/>
          <w:szCs w:val="24"/>
          <w:highlight w:val="none"/>
        </w:rPr>
      </w:pPr>
      <w:bookmarkStart w:id="29" w:name="_Toc300675946"/>
      <w:bookmarkStart w:id="30" w:name="_Toc156106963"/>
      <w:bookmarkStart w:id="31" w:name="_Toc300676156"/>
      <w:r>
        <w:rPr>
          <w:rFonts w:hint="eastAsia" w:hAnsi="宋体" w:cs="宋体"/>
          <w:b/>
          <w:color w:val="auto"/>
          <w:sz w:val="24"/>
          <w:szCs w:val="24"/>
          <w:highlight w:val="none"/>
        </w:rPr>
        <w:t>32.签订合同</w:t>
      </w:r>
      <w:bookmarkEnd w:id="29"/>
      <w:bookmarkEnd w:id="30"/>
      <w:bookmarkEnd w:id="31"/>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32.1成交供应商在收到成交通知书后，按成交通知书中规定的时间、地点与采购人签订合同。</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32.2如成交供应商不按成交通知书的规定签订合同，则按成交供应商违约处理，采购代理机构对成交供应商竞标的全部竞标保证金将不予退还，同时还应对采购人承担违约责任。</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32.3合同签订必须按《中华人民共和国政府采购法》、《政府采购非招标采购方式管理办法》和《中华人民共和国合同法》，否则由此造成的后果由采购人负责。</w:t>
      </w:r>
    </w:p>
    <w:p>
      <w:pPr>
        <w:pStyle w:val="12"/>
        <w:spacing w:line="500" w:lineRule="exact"/>
        <w:ind w:left="6" w:firstLine="439"/>
        <w:rPr>
          <w:rFonts w:hAnsi="宋体" w:cs="宋体"/>
          <w:color w:val="auto"/>
          <w:sz w:val="24"/>
          <w:szCs w:val="24"/>
          <w:highlight w:val="none"/>
        </w:rPr>
      </w:pPr>
      <w:bookmarkStart w:id="32" w:name="_Toc205632338"/>
      <w:bookmarkStart w:id="33" w:name="_Toc290489636"/>
      <w:bookmarkStart w:id="34" w:name="_Toc290489558"/>
      <w:r>
        <w:rPr>
          <w:rFonts w:hint="eastAsia" w:hAnsi="宋体" w:cs="宋体"/>
          <w:color w:val="auto"/>
          <w:sz w:val="24"/>
          <w:szCs w:val="24"/>
          <w:highlight w:val="none"/>
        </w:rPr>
        <w:t>32.4成交供应商因不可抗力或者自身原因不能履行采购合同的，</w:t>
      </w:r>
      <w:bookmarkEnd w:id="32"/>
      <w:r>
        <w:rPr>
          <w:rFonts w:hint="eastAsia" w:hAnsi="宋体" w:cs="宋体"/>
          <w:color w:val="auto"/>
          <w:sz w:val="24"/>
          <w:szCs w:val="24"/>
          <w:highlight w:val="none"/>
        </w:rPr>
        <w:t>采购单位可以从合格的成交候选人中另行确定成交供应商，没有合格的成交候选人的，重新开展采购活动。《政府采购法实施条例》第四十九条中标或者成交供应商拒绝与采购人签订合同的，采购人可以按照评审报告推荐的中标或者成交候选人名单排序，确定下一候选人为中标或者成交供应商，也可以重新开展政府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bookmarkEnd w:id="33"/>
      <w:bookmarkEnd w:id="34"/>
    </w:p>
    <w:p>
      <w:pPr>
        <w:pStyle w:val="12"/>
        <w:spacing w:line="500" w:lineRule="exact"/>
        <w:outlineLvl w:val="2"/>
        <w:rPr>
          <w:rFonts w:hAnsi="宋体" w:cs="宋体"/>
          <w:b/>
          <w:color w:val="auto"/>
          <w:sz w:val="24"/>
          <w:szCs w:val="24"/>
          <w:highlight w:val="none"/>
        </w:rPr>
      </w:pPr>
      <w:bookmarkStart w:id="35" w:name="_Toc11381"/>
      <w:bookmarkStart w:id="36" w:name="_Toc199728731"/>
      <w:bookmarkStart w:id="37" w:name="_Toc108836082"/>
      <w:bookmarkStart w:id="38" w:name="_Toc108835671"/>
      <w:bookmarkStart w:id="39" w:name="_Toc300676158"/>
      <w:bookmarkStart w:id="40" w:name="_Toc156106965"/>
      <w:bookmarkStart w:id="41" w:name="_Toc300675948"/>
      <w:r>
        <w:rPr>
          <w:rFonts w:hint="eastAsia" w:hAnsi="宋体" w:cs="宋体"/>
          <w:b/>
          <w:color w:val="auto"/>
          <w:sz w:val="24"/>
          <w:szCs w:val="24"/>
          <w:highlight w:val="none"/>
        </w:rPr>
        <w:t>33.履约保证金</w:t>
      </w:r>
      <w:bookmarkEnd w:id="35"/>
      <w:bookmarkEnd w:id="36"/>
      <w:bookmarkEnd w:id="37"/>
      <w:bookmarkEnd w:id="38"/>
      <w:r>
        <w:rPr>
          <w:rFonts w:hint="eastAsia" w:hAnsi="宋体" w:cs="宋体"/>
          <w:b/>
          <w:color w:val="auto"/>
          <w:sz w:val="24"/>
          <w:szCs w:val="24"/>
          <w:highlight w:val="none"/>
        </w:rPr>
        <w:t xml:space="preserve"> </w:t>
      </w:r>
    </w:p>
    <w:p>
      <w:pPr>
        <w:pStyle w:val="12"/>
        <w:spacing w:line="500" w:lineRule="exact"/>
        <w:ind w:left="6" w:firstLine="439"/>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33.1履约担保的金额：</w:t>
      </w:r>
      <w:r>
        <w:rPr>
          <w:rFonts w:hint="eastAsia" w:hAnsi="宋体" w:cs="宋体"/>
          <w:color w:val="auto"/>
          <w:sz w:val="24"/>
          <w:szCs w:val="24"/>
          <w:highlight w:val="none"/>
          <w:lang w:val="en-US" w:eastAsia="zh-CN"/>
        </w:rPr>
        <w:t>/</w:t>
      </w:r>
    </w:p>
    <w:p>
      <w:pPr>
        <w:pStyle w:val="12"/>
        <w:spacing w:line="500" w:lineRule="exact"/>
        <w:ind w:left="6" w:firstLine="439"/>
        <w:rPr>
          <w:rFonts w:hAnsi="宋体" w:cs="宋体"/>
          <w:color w:val="auto"/>
          <w:sz w:val="24"/>
          <w:szCs w:val="24"/>
          <w:highlight w:val="none"/>
        </w:rPr>
      </w:pPr>
    </w:p>
    <w:p>
      <w:pPr>
        <w:pStyle w:val="12"/>
        <w:spacing w:line="420" w:lineRule="exact"/>
        <w:ind w:firstLine="3869" w:firstLineChars="1606"/>
        <w:outlineLvl w:val="1"/>
        <w:rPr>
          <w:rFonts w:hAnsi="宋体" w:cs="宋体"/>
          <w:b/>
          <w:bCs/>
          <w:color w:val="auto"/>
          <w:sz w:val="24"/>
          <w:szCs w:val="24"/>
          <w:highlight w:val="none"/>
        </w:rPr>
      </w:pPr>
      <w:r>
        <w:rPr>
          <w:rFonts w:hint="eastAsia" w:hAnsi="宋体" w:cs="宋体"/>
          <w:b/>
          <w:bCs/>
          <w:color w:val="auto"/>
          <w:sz w:val="24"/>
          <w:szCs w:val="24"/>
          <w:highlight w:val="none"/>
        </w:rPr>
        <w:t>八、其他事项</w:t>
      </w:r>
      <w:bookmarkEnd w:id="39"/>
      <w:bookmarkEnd w:id="40"/>
      <w:bookmarkEnd w:id="41"/>
    </w:p>
    <w:p>
      <w:pPr>
        <w:pStyle w:val="12"/>
        <w:spacing w:line="420" w:lineRule="exact"/>
        <w:outlineLvl w:val="2"/>
        <w:rPr>
          <w:rFonts w:hint="eastAsia" w:hAnsi="宋体" w:cs="宋体"/>
          <w:b/>
          <w:color w:val="auto"/>
          <w:sz w:val="24"/>
          <w:szCs w:val="24"/>
          <w:highlight w:val="none"/>
        </w:rPr>
      </w:pPr>
      <w:bookmarkStart w:id="42" w:name="_Toc156106966"/>
      <w:bookmarkStart w:id="43" w:name="_Toc295666041"/>
      <w:bookmarkStart w:id="44" w:name="_Toc295666183"/>
      <w:r>
        <w:rPr>
          <w:rFonts w:hint="eastAsia" w:hAnsi="宋体" w:cs="宋体"/>
          <w:b/>
          <w:bCs/>
          <w:color w:val="auto"/>
          <w:sz w:val="24"/>
          <w:szCs w:val="24"/>
          <w:highlight w:val="none"/>
        </w:rPr>
        <w:t>34.成交服务费</w:t>
      </w:r>
      <w:bookmarkEnd w:id="42"/>
      <w:bookmarkEnd w:id="43"/>
      <w:bookmarkEnd w:id="44"/>
      <w:r>
        <w:rPr>
          <w:rFonts w:hint="eastAsia" w:hAnsi="宋体" w:cs="宋体"/>
          <w:b/>
          <w:bCs/>
          <w:color w:val="auto"/>
          <w:sz w:val="24"/>
          <w:szCs w:val="24"/>
          <w:highlight w:val="none"/>
          <w:lang w:eastAsia="zh-CN"/>
        </w:rPr>
        <w:t>：</w:t>
      </w:r>
      <w:bookmarkStart w:id="45" w:name="_Toc156106967"/>
      <w:bookmarkStart w:id="46" w:name="_Toc295666185"/>
      <w:bookmarkStart w:id="47" w:name="_Toc295666043"/>
      <w:r>
        <w:rPr>
          <w:rFonts w:hint="eastAsia" w:hAnsi="宋体" w:cs="宋体"/>
          <w:color w:val="auto"/>
          <w:sz w:val="24"/>
          <w:szCs w:val="24"/>
          <w:highlight w:val="none"/>
          <w:lang w:val="en-US" w:eastAsia="zh-CN"/>
        </w:rPr>
        <w:t>无。</w:t>
      </w:r>
    </w:p>
    <w:p>
      <w:pPr>
        <w:pStyle w:val="12"/>
        <w:spacing w:line="420" w:lineRule="exact"/>
        <w:outlineLvl w:val="2"/>
        <w:rPr>
          <w:rFonts w:hAnsi="宋体" w:cs="宋体"/>
          <w:b/>
          <w:color w:val="auto"/>
          <w:sz w:val="24"/>
          <w:szCs w:val="24"/>
          <w:highlight w:val="none"/>
        </w:rPr>
      </w:pPr>
      <w:r>
        <w:rPr>
          <w:rFonts w:hint="eastAsia" w:hAnsi="宋体" w:cs="宋体"/>
          <w:b/>
          <w:color w:val="auto"/>
          <w:sz w:val="24"/>
          <w:szCs w:val="24"/>
          <w:highlight w:val="none"/>
        </w:rPr>
        <w:t>35.解释权</w:t>
      </w:r>
      <w:bookmarkEnd w:id="45"/>
      <w:bookmarkEnd w:id="46"/>
      <w:bookmarkEnd w:id="47"/>
    </w:p>
    <w:p>
      <w:pPr>
        <w:pStyle w:val="12"/>
        <w:spacing w:line="420" w:lineRule="exact"/>
        <w:ind w:firstLine="420"/>
        <w:rPr>
          <w:rFonts w:hAnsi="宋体" w:cs="宋体"/>
          <w:color w:val="auto"/>
          <w:sz w:val="24"/>
          <w:szCs w:val="24"/>
          <w:highlight w:val="none"/>
        </w:rPr>
      </w:pPr>
      <w:r>
        <w:rPr>
          <w:rFonts w:hint="eastAsia" w:hAnsi="宋体" w:cs="宋体"/>
          <w:color w:val="auto"/>
          <w:sz w:val="24"/>
          <w:szCs w:val="24"/>
          <w:highlight w:val="none"/>
        </w:rPr>
        <w:t>35.1本谈判采购文件是根据国家有关法律、法规以及政府采购管理有关规定和参照国际惯例编制，解释权属本采购代理机构。</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36. 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36.1 有下列情形之一的，应予以重新采购：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⑴竞标截止时间止，供应商不足3家的。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⑵符合专业条件的供应商或者对竞争性谈判文件作实质响应的供应商不足三家的；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⑶出现影响采购公正的违法、违规行为的；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⑷因重大变故，采购任务取消的。</w:t>
      </w:r>
    </w:p>
    <w:p>
      <w:pPr>
        <w:keepNext/>
        <w:numPr>
          <w:ilvl w:val="0"/>
          <w:numId w:val="3"/>
        </w:numPr>
        <w:spacing w:line="4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货物需求一览表</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说明：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1.本一览表的货物品牌型号、技术参数及其性能（配置）仅起参考作用，供应商可选用其它品牌型号替代，但这些替代的品牌型号要实质上相当于或优于参考品牌型号及其技术参数性能（配置）要求；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 xml:space="preserve">2.本一览表中参考品牌型号规格及技术参数不明确或有误的，或供应商选用其它品牌型号替代的，请以详细、正确的品牌型号、技术参数（配置）同时填写竞标报价明细表和技术规格响应表。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3.凡在“技术参数及性能（配置）要求”中表述为“标配”或“标准配置”的货物，供应商应在竞标报价明细表中将其标配参数详细列明。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5.打“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bidi="ar"/>
        </w:rPr>
        <w:t>”项为重要货物技术参数、性能（配置）及要求，供应商的竞标产品必须满足或优于该参数配置要求，否则竞标无效</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z w:val="24"/>
          <w:szCs w:val="24"/>
          <w:highlight w:val="none"/>
          <w:lang w:val="en-US" w:eastAsia="zh-CN" w:bidi="ar"/>
        </w:rPr>
        <w:t>未打“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”项大于三项为负偏离的，亦视为</w:t>
      </w:r>
      <w:r>
        <w:rPr>
          <w:rFonts w:hint="eastAsia" w:ascii="宋体" w:hAnsi="宋体" w:eastAsia="宋体" w:cs="宋体"/>
          <w:b/>
          <w:bCs/>
          <w:color w:val="auto"/>
          <w:sz w:val="24"/>
          <w:szCs w:val="24"/>
          <w:highlight w:val="none"/>
          <w:lang w:bidi="ar"/>
        </w:rPr>
        <w:t xml:space="preserve">竞标无效。 </w:t>
      </w:r>
    </w:p>
    <w:p>
      <w:pPr>
        <w:pStyle w:val="18"/>
        <w:keepLines w:val="0"/>
        <w:pageBreakBefore w:val="0"/>
        <w:kinsoku/>
        <w:wordWrap/>
        <w:overflowPunct/>
        <w:topLinePunct w:val="0"/>
        <w:autoSpaceDE/>
        <w:autoSpaceDN/>
        <w:bidi w:val="0"/>
        <w:spacing w:before="0" w:after="0" w:line="400" w:lineRule="exact"/>
        <w:ind w:firstLine="441" w:firstLineChars="183"/>
        <w:rPr>
          <w:rFonts w:hint="eastAsia" w:hAnsi="宋体" w:cs="宋体"/>
          <w:b/>
          <w:color w:val="auto"/>
          <w:szCs w:val="24"/>
          <w:highlight w:val="none"/>
        </w:rPr>
      </w:pPr>
      <w:r>
        <w:rPr>
          <w:rFonts w:hint="eastAsia" w:hAnsi="宋体" w:cs="宋体"/>
          <w:b/>
          <w:color w:val="auto"/>
          <w:szCs w:val="24"/>
          <w:highlight w:val="none"/>
        </w:rPr>
        <w:t>本一览表中的规格要求不明确或有误的，请以详细、正确的规格要求同时填写竞标报价表和规格偏离表。</w:t>
      </w:r>
    </w:p>
    <w:p>
      <w:pPr>
        <w:rPr>
          <w:rFonts w:hint="eastAsia"/>
        </w:rPr>
      </w:pPr>
    </w:p>
    <w:tbl>
      <w:tblPr>
        <w:tblStyle w:val="2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99"/>
        <w:gridCol w:w="1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8799" w:type="dxa"/>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b/>
                <w:bCs/>
                <w:color w:val="000000"/>
                <w:sz w:val="21"/>
                <w:szCs w:val="21"/>
              </w:rPr>
            </w:pPr>
            <w:r>
              <w:rPr>
                <w:rFonts w:hint="eastAsia" w:ascii="宋体" w:hAnsi="宋体" w:cs="宋体"/>
                <w:color w:val="000000"/>
                <w:szCs w:val="21"/>
                <w:highlight w:val="none"/>
              </w:rPr>
              <w:t>技术参</w:t>
            </w:r>
            <w:r>
              <w:rPr>
                <w:rFonts w:hint="eastAsia" w:ascii="宋体" w:hAnsi="宋体" w:cs="宋体"/>
                <w:color w:val="000000"/>
                <w:szCs w:val="21"/>
                <w:highlight w:val="none"/>
                <w:shd w:val="clear"/>
              </w:rPr>
              <w:t>数及性能配置要</w:t>
            </w:r>
            <w:r>
              <w:rPr>
                <w:rFonts w:hint="eastAsia" w:ascii="宋体" w:hAnsi="宋体" w:cs="宋体"/>
                <w:color w:val="000000"/>
                <w:szCs w:val="21"/>
                <w:highlight w:val="none"/>
              </w:rPr>
              <w:t>求</w:t>
            </w:r>
          </w:p>
        </w:tc>
        <w:tc>
          <w:tcPr>
            <w:tcW w:w="1163" w:type="dxa"/>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微软雅黑" w:cs="宋体"/>
                <w:color w:val="000000"/>
                <w:szCs w:val="21"/>
                <w:highlight w:val="none"/>
                <w:lang w:eastAsia="zh-CN"/>
              </w:rPr>
            </w:pPr>
            <w:r>
              <w:rPr>
                <w:rFonts w:hint="eastAsia" w:ascii="宋体" w:hAnsi="宋体" w:cs="宋体"/>
                <w:color w:val="000000"/>
                <w:szCs w:val="21"/>
                <w:highlight w:val="none"/>
                <w:lang w:eastAsia="zh-CN"/>
              </w:rPr>
              <w:t>采购数量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3" w:hRule="atLeast"/>
          <w:jc w:val="center"/>
        </w:trPr>
        <w:tc>
          <w:tcPr>
            <w:tcW w:w="8799" w:type="dxa"/>
            <w:noWrap w:val="0"/>
            <w:vAlign w:val="top"/>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需求设备名称：车载式呼吸机（有创）</w:t>
            </w:r>
          </w:p>
          <w:p>
            <w:pPr>
              <w:numPr>
                <w:ilvl w:val="0"/>
                <w:numId w:val="4"/>
              </w:numPr>
              <w:rPr>
                <w:rFonts w:hint="eastAsia"/>
                <w:b/>
                <w:bCs/>
                <w:sz w:val="24"/>
                <w:szCs w:val="24"/>
                <w:lang w:val="en-US" w:eastAsia="zh-CN"/>
              </w:rPr>
            </w:pPr>
            <w:r>
              <w:rPr>
                <w:rFonts w:hint="eastAsia"/>
                <w:b/>
                <w:bCs/>
                <w:sz w:val="24"/>
                <w:szCs w:val="24"/>
                <w:lang w:val="en-US" w:eastAsia="zh-CN"/>
              </w:rPr>
              <w:t>车载式呼吸机（有创）（有创）需求参数：</w:t>
            </w:r>
          </w:p>
          <w:p>
            <w:pPr>
              <w:widowControl w:val="0"/>
              <w:numPr>
                <w:ilvl w:val="0"/>
                <w:numId w:val="0"/>
              </w:numPr>
              <w:jc w:val="both"/>
              <w:rPr>
                <w:rFonts w:hint="eastAsia"/>
                <w:sz w:val="24"/>
                <w:szCs w:val="24"/>
                <w:lang w:val="en-US" w:eastAsia="zh-CN"/>
              </w:rPr>
            </w:pPr>
            <w:r>
              <w:rPr>
                <w:rFonts w:hint="eastAsia"/>
                <w:sz w:val="24"/>
                <w:szCs w:val="24"/>
                <w:lang w:val="en-US" w:eastAsia="zh-CN"/>
              </w:rPr>
              <w:t>1、 适用于成人、小儿和婴幼儿患者通气辅助及呼吸支持；</w:t>
            </w:r>
          </w:p>
          <w:p>
            <w:pPr>
              <w:widowControl w:val="0"/>
              <w:numPr>
                <w:ilvl w:val="0"/>
                <w:numId w:val="0"/>
              </w:numPr>
              <w:jc w:val="both"/>
              <w:rPr>
                <w:rFonts w:hint="eastAsia"/>
                <w:sz w:val="24"/>
                <w:szCs w:val="24"/>
                <w:lang w:val="en-US" w:eastAsia="zh-CN"/>
              </w:rPr>
            </w:pPr>
            <w:r>
              <w:rPr>
                <w:rFonts w:hint="eastAsia"/>
                <w:sz w:val="24"/>
                <w:szCs w:val="24"/>
                <w:lang w:val="en-US" w:eastAsia="zh-CN"/>
              </w:rPr>
              <w:t>2、整机为电动电控设计，涡轮驱动产生空气气源；</w:t>
            </w:r>
          </w:p>
          <w:p>
            <w:pPr>
              <w:widowControl w:val="0"/>
              <w:numPr>
                <w:ilvl w:val="0"/>
                <w:numId w:val="0"/>
              </w:numPr>
              <w:jc w:val="both"/>
              <w:rPr>
                <w:rFonts w:hint="eastAsia"/>
                <w:sz w:val="24"/>
                <w:szCs w:val="24"/>
                <w:lang w:val="en-US" w:eastAsia="zh-CN"/>
              </w:rPr>
            </w:pPr>
            <w:r>
              <w:rPr>
                <w:rFonts w:hint="eastAsia"/>
                <w:sz w:val="24"/>
                <w:szCs w:val="24"/>
                <w:lang w:val="en-US" w:eastAsia="zh-CN"/>
              </w:rPr>
              <w:t>3、电池续航时间1块电池≥5小时，选配2块电池≥10小时；</w:t>
            </w:r>
          </w:p>
          <w:p>
            <w:pPr>
              <w:widowControl w:val="0"/>
              <w:numPr>
                <w:ilvl w:val="0"/>
                <w:numId w:val="0"/>
              </w:numPr>
              <w:jc w:val="both"/>
              <w:rPr>
                <w:rFonts w:hint="eastAsia"/>
                <w:sz w:val="24"/>
                <w:szCs w:val="24"/>
                <w:lang w:val="en-US" w:eastAsia="zh-CN"/>
              </w:rPr>
            </w:pPr>
            <w:r>
              <w:rPr>
                <w:rFonts w:hint="eastAsia"/>
                <w:sz w:val="24"/>
                <w:szCs w:val="24"/>
                <w:lang w:val="en-US" w:eastAsia="zh-CN"/>
              </w:rPr>
              <w:t>4、吸气峰值流速：≥210L/min；</w:t>
            </w:r>
          </w:p>
          <w:p>
            <w:pPr>
              <w:widowControl w:val="0"/>
              <w:numPr>
                <w:ilvl w:val="0"/>
                <w:numId w:val="0"/>
              </w:numPr>
              <w:jc w:val="both"/>
              <w:rPr>
                <w:rFonts w:hint="default"/>
                <w:sz w:val="24"/>
                <w:szCs w:val="24"/>
                <w:lang w:val="en-US" w:eastAsia="zh-CN"/>
              </w:rPr>
            </w:pPr>
            <w:r>
              <w:rPr>
                <w:rFonts w:hint="eastAsia"/>
                <w:sz w:val="24"/>
                <w:szCs w:val="24"/>
                <w:lang w:val="en-US" w:eastAsia="zh-CN"/>
              </w:rPr>
              <w:t>▲5、配备提拿悬挂一体化多功能把手；</w:t>
            </w:r>
          </w:p>
          <w:p>
            <w:pPr>
              <w:numPr>
                <w:ilvl w:val="0"/>
                <w:numId w:val="5"/>
              </w:numPr>
              <w:rPr>
                <w:rFonts w:hint="eastAsia"/>
                <w:sz w:val="24"/>
                <w:szCs w:val="24"/>
                <w:lang w:val="en-US" w:eastAsia="zh-CN"/>
              </w:rPr>
            </w:pPr>
            <w:r>
              <w:rPr>
                <w:rFonts w:hint="eastAsia"/>
                <w:sz w:val="24"/>
                <w:szCs w:val="24"/>
                <w:lang w:val="en-US" w:eastAsia="zh-CN"/>
              </w:rPr>
              <w:t>可配备无消耗氧传感器，无需校准和更换；</w:t>
            </w:r>
          </w:p>
          <w:p>
            <w:pPr>
              <w:numPr>
                <w:ilvl w:val="0"/>
                <w:numId w:val="5"/>
              </w:numPr>
              <w:rPr>
                <w:rFonts w:hint="default"/>
                <w:sz w:val="24"/>
                <w:szCs w:val="24"/>
                <w:lang w:val="en-US" w:eastAsia="zh-CN"/>
              </w:rPr>
            </w:pPr>
            <w:r>
              <w:rPr>
                <w:rFonts w:hint="default"/>
                <w:sz w:val="24"/>
                <w:szCs w:val="24"/>
                <w:lang w:val="en-US" w:eastAsia="zh-CN"/>
              </w:rPr>
              <w:t>配备主流 CO2 监测模块和附件</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支持高压氧气气源和低压氧气气源两种方式</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采用</w:t>
            </w:r>
            <w:r>
              <w:rPr>
                <w:rFonts w:hint="eastAsia"/>
                <w:sz w:val="24"/>
                <w:szCs w:val="24"/>
                <w:lang w:val="en-US" w:eastAsia="zh-CN"/>
              </w:rPr>
              <w:t>≥</w:t>
            </w:r>
            <w:r>
              <w:rPr>
                <w:rFonts w:hint="default"/>
                <w:sz w:val="24"/>
                <w:szCs w:val="24"/>
                <w:lang w:val="en-US" w:eastAsia="zh-CN"/>
              </w:rPr>
              <w:t>7英寸彩色电容触摸控制屏，分辨率</w:t>
            </w:r>
            <w:r>
              <w:rPr>
                <w:rFonts w:hint="eastAsia"/>
                <w:sz w:val="24"/>
                <w:szCs w:val="24"/>
                <w:lang w:val="en-US" w:eastAsia="zh-CN"/>
              </w:rPr>
              <w:t>≥</w:t>
            </w:r>
            <w:r>
              <w:rPr>
                <w:rFonts w:hint="default"/>
                <w:sz w:val="24"/>
                <w:szCs w:val="24"/>
                <w:lang w:val="en-US" w:eastAsia="zh-CN"/>
              </w:rPr>
              <w:t>800*480像素，可同时显示波形和监测参数</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▲具有屏幕亮度自动调节功能，根据环境光线强度自动调节屏幕亮度</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▲具有关机状态下电量显示功能，更加高效掌握机器剩余电量</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支持显示</w:t>
            </w:r>
            <w:r>
              <w:rPr>
                <w:rFonts w:hint="eastAsia"/>
                <w:sz w:val="24"/>
                <w:szCs w:val="24"/>
                <w:lang w:val="en-US" w:eastAsia="zh-CN"/>
              </w:rPr>
              <w:t>≥</w:t>
            </w:r>
            <w:r>
              <w:rPr>
                <w:rFonts w:hint="default"/>
                <w:sz w:val="24"/>
                <w:szCs w:val="24"/>
                <w:lang w:val="en-US" w:eastAsia="zh-CN"/>
              </w:rPr>
              <w:t>100小时的全部监测参数趋势图、表分析，</w:t>
            </w:r>
            <w:r>
              <w:rPr>
                <w:rFonts w:hint="eastAsia"/>
                <w:sz w:val="24"/>
                <w:szCs w:val="24"/>
                <w:lang w:val="en-US" w:eastAsia="zh-CN"/>
              </w:rPr>
              <w:t>≥</w:t>
            </w:r>
            <w:r>
              <w:rPr>
                <w:rFonts w:hint="default"/>
                <w:sz w:val="24"/>
                <w:szCs w:val="24"/>
                <w:lang w:val="en-US" w:eastAsia="zh-CN"/>
              </w:rPr>
              <w:t>8000条报警和操作日志记录</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具备截屏U盘导出功能，可缓存≥50张屏幕文件</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防尘防水等级：</w:t>
            </w:r>
            <w:r>
              <w:rPr>
                <w:rFonts w:hint="eastAsia"/>
                <w:sz w:val="24"/>
                <w:szCs w:val="24"/>
                <w:lang w:val="en-US" w:eastAsia="zh-CN"/>
              </w:rPr>
              <w:t>≥</w:t>
            </w:r>
            <w:r>
              <w:rPr>
                <w:rFonts w:hint="default"/>
                <w:sz w:val="24"/>
                <w:szCs w:val="24"/>
                <w:lang w:val="en-US" w:eastAsia="zh-CN"/>
              </w:rPr>
              <w:t>IP34</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工作温度范围：-20~50℃</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具有自动海拔补偿功能和自动漏气补偿功能</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标配模式：控制/辅助通气模式A/C 和同步间歇指令通气SIMV；持续气道正压通气模式/压力支持通气CPAP/PSV、双水平气道正压通气（如 BIPAP 或 DuoLevel 或 BiLevel）、压力调节容量控制通气（如AUTOFLOW 或 PRVC 等）、压力调节容量控制-同步间歇指令通气模式（PRVC-SIMV）、心肺复苏通气模式（如 CPRV，CPRmode 等）</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▲配备无创通气模式和氧疗模式</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▲呼吸同步技术（如IntelliCycle，IntelliSync+），自动调节吸气和呼气触发灵敏度、压力上升时间，提高人机同步性和舒适度，减少手动调节参数</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标配内源性PEEP、口腔闭合压P0.1和浅快呼吸指数RSBI的测定</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潮气量：20ml—2000ml</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吸气压力：1—60cmH2O</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呼气末正压：0—50cmH2O</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吸入氧浓度：21—100%</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吸气时间：0.1—10s</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压力触发灵敏度：-20— -0.5cmH2O，或 OFF</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流速触发灵敏度：0.5—20L/min，或 OFF</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呼气触发灵敏度：Auto, 1—85%</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氧疗流量：2—80L/min</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监测参数：氧浓度、分钟通气量、潮气量、气道压力、呼吸频率等关键参数</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波形监测：压力—时间、流速—时间、容量—时间和 CO2—时间波形</w:t>
            </w:r>
            <w:r>
              <w:rPr>
                <w:rFonts w:hint="eastAsia"/>
                <w:sz w:val="24"/>
                <w:szCs w:val="24"/>
                <w:lang w:val="en-US" w:eastAsia="zh-CN"/>
              </w:rPr>
              <w:t>；</w:t>
            </w:r>
          </w:p>
          <w:p>
            <w:pPr>
              <w:numPr>
                <w:ilvl w:val="0"/>
                <w:numId w:val="5"/>
              </w:numPr>
              <w:rPr>
                <w:rFonts w:hint="default"/>
                <w:sz w:val="24"/>
                <w:szCs w:val="24"/>
                <w:lang w:val="en-US" w:eastAsia="zh-CN"/>
              </w:rPr>
            </w:pPr>
            <w:r>
              <w:rPr>
                <w:rFonts w:hint="default"/>
                <w:sz w:val="24"/>
                <w:szCs w:val="24"/>
                <w:lang w:val="en-US" w:eastAsia="zh-CN"/>
              </w:rPr>
              <w:t>报警：潮气量、通气量、压力、呼吸频率、窒息、氧浓度、氧气不足、电量不足、管路脱落、机器故障等</w:t>
            </w:r>
            <w:r>
              <w:rPr>
                <w:rFonts w:hint="eastAsia"/>
                <w:sz w:val="24"/>
                <w:szCs w:val="24"/>
                <w:lang w:val="en-US" w:eastAsia="zh-CN"/>
              </w:rPr>
              <w:t>；</w:t>
            </w:r>
          </w:p>
          <w:p>
            <w:pPr>
              <w:numPr>
                <w:ilvl w:val="0"/>
                <w:numId w:val="0"/>
              </w:numPr>
              <w:rPr>
                <w:rFonts w:hint="default"/>
                <w:sz w:val="24"/>
                <w:szCs w:val="24"/>
                <w:lang w:val="en-US" w:eastAsia="zh-CN"/>
              </w:rPr>
            </w:pPr>
            <w:r>
              <w:rPr>
                <w:rFonts w:hint="default"/>
                <w:sz w:val="24"/>
                <w:szCs w:val="24"/>
                <w:lang w:val="en-US" w:eastAsia="zh-CN"/>
              </w:rPr>
              <w:t>▲</w:t>
            </w:r>
            <w:r>
              <w:rPr>
                <w:rFonts w:hint="eastAsia"/>
                <w:sz w:val="24"/>
                <w:szCs w:val="24"/>
                <w:lang w:val="en-US" w:eastAsia="zh-CN"/>
              </w:rPr>
              <w:t>33、使用年限≥10年；</w:t>
            </w:r>
          </w:p>
          <w:p>
            <w:pPr>
              <w:numPr>
                <w:ilvl w:val="0"/>
                <w:numId w:val="0"/>
              </w:numPr>
              <w:rPr>
                <w:rFonts w:hint="default" w:ascii="宋体" w:hAnsi="宋体" w:eastAsia="宋体" w:cs="宋体"/>
                <w:color w:val="auto"/>
                <w:sz w:val="21"/>
                <w:szCs w:val="21"/>
                <w:lang w:val="en-US" w:eastAsia="zh-CN"/>
              </w:rPr>
            </w:pPr>
            <w:r>
              <w:rPr>
                <w:rFonts w:hint="eastAsia"/>
                <w:sz w:val="24"/>
                <w:szCs w:val="24"/>
                <w:lang w:val="en-US" w:eastAsia="zh-CN"/>
              </w:rPr>
              <w:t>34、质保年限≥2年。</w:t>
            </w:r>
          </w:p>
        </w:tc>
        <w:tc>
          <w:tcPr>
            <w:tcW w:w="1163" w:type="dxa"/>
            <w:noWrap w:val="0"/>
            <w:vAlign w:val="top"/>
          </w:tcPr>
          <w:p>
            <w:pPr>
              <w:spacing w:line="240" w:lineRule="auto"/>
              <w:jc w:val="both"/>
              <w:rPr>
                <w:rFonts w:hint="eastAsia" w:ascii="宋体" w:hAnsi="宋体" w:eastAsia="宋体" w:cs="宋体"/>
                <w:sz w:val="21"/>
                <w:szCs w:val="21"/>
                <w:lang w:eastAsia="zh-CN"/>
              </w:rPr>
            </w:pPr>
          </w:p>
          <w:p>
            <w:pPr>
              <w:spacing w:line="240" w:lineRule="auto"/>
              <w:jc w:val="both"/>
              <w:rPr>
                <w:rFonts w:hint="eastAsia" w:ascii="宋体" w:hAnsi="宋体" w:eastAsia="宋体" w:cs="宋体"/>
                <w:sz w:val="21"/>
                <w:szCs w:val="21"/>
                <w:lang w:eastAsia="zh-CN"/>
              </w:rPr>
            </w:pPr>
          </w:p>
          <w:p>
            <w:pPr>
              <w:spacing w:line="240" w:lineRule="auto"/>
              <w:jc w:val="both"/>
              <w:rPr>
                <w:rFonts w:hint="eastAsia" w:ascii="宋体" w:hAnsi="宋体" w:eastAsia="宋体" w:cs="宋体"/>
                <w:sz w:val="21"/>
                <w:szCs w:val="21"/>
                <w:lang w:eastAsia="zh-CN"/>
              </w:rPr>
            </w:pPr>
          </w:p>
          <w:p>
            <w:pPr>
              <w:spacing w:line="240" w:lineRule="auto"/>
              <w:jc w:val="both"/>
              <w:rPr>
                <w:rFonts w:hint="eastAsia" w:ascii="宋体" w:hAnsi="宋体" w:eastAsia="宋体" w:cs="宋体"/>
                <w:sz w:val="21"/>
                <w:szCs w:val="21"/>
                <w:lang w:eastAsia="zh-CN"/>
              </w:rPr>
            </w:pPr>
          </w:p>
          <w:p>
            <w:pPr>
              <w:spacing w:line="240" w:lineRule="auto"/>
              <w:jc w:val="both"/>
              <w:rPr>
                <w:rFonts w:hint="eastAsia" w:ascii="宋体" w:hAnsi="宋体" w:eastAsia="宋体" w:cs="宋体"/>
                <w:sz w:val="21"/>
                <w:szCs w:val="21"/>
                <w:lang w:eastAsia="zh-CN"/>
              </w:rPr>
            </w:pPr>
          </w:p>
          <w:p>
            <w:pPr>
              <w:spacing w:line="240" w:lineRule="auto"/>
              <w:jc w:val="both"/>
              <w:rPr>
                <w:rFonts w:hint="eastAsia" w:ascii="宋体" w:hAnsi="宋体" w:eastAsia="宋体" w:cs="宋体"/>
                <w:sz w:val="21"/>
                <w:szCs w:val="21"/>
                <w:lang w:eastAsia="zh-CN"/>
              </w:rPr>
            </w:pPr>
          </w:p>
          <w:p>
            <w:pPr>
              <w:spacing w:line="240" w:lineRule="auto"/>
              <w:jc w:val="both"/>
              <w:rPr>
                <w:rFonts w:hint="eastAsia" w:ascii="宋体" w:hAnsi="宋体" w:eastAsia="宋体" w:cs="宋体"/>
                <w:sz w:val="21"/>
                <w:szCs w:val="21"/>
                <w:lang w:eastAsia="zh-CN"/>
              </w:rPr>
            </w:pPr>
          </w:p>
          <w:p>
            <w:pPr>
              <w:spacing w:line="24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t>一</w:t>
            </w:r>
            <w:r>
              <w:rPr>
                <w:rFonts w:hint="eastAsia" w:ascii="宋体" w:hAnsi="宋体" w:eastAsia="宋体" w:cs="宋体"/>
                <w:sz w:val="21"/>
                <w:szCs w:val="21"/>
                <w:lang w:val="en-US" w:eastAsia="zh-CN"/>
              </w:rPr>
              <w:t>台</w:t>
            </w:r>
          </w:p>
        </w:tc>
      </w:tr>
    </w:tbl>
    <w:p>
      <w:pPr>
        <w:spacing w:line="360" w:lineRule="auto"/>
        <w:rPr>
          <w:rFonts w:hint="eastAsia" w:ascii="黑体" w:hAnsi="黑体" w:eastAsia="黑体" w:cs="Arial"/>
          <w:b/>
          <w:kern w:val="0"/>
          <w:sz w:val="28"/>
          <w:szCs w:val="28"/>
        </w:rPr>
      </w:pPr>
    </w:p>
    <w:p>
      <w:pPr>
        <w:spacing w:line="360" w:lineRule="auto"/>
        <w:rPr>
          <w:rFonts w:ascii="黑体" w:hAnsi="黑体" w:eastAsia="黑体" w:cs="Arial"/>
          <w:b/>
          <w:kern w:val="0"/>
          <w:sz w:val="28"/>
          <w:szCs w:val="28"/>
        </w:rPr>
      </w:pPr>
      <w:r>
        <w:rPr>
          <w:rFonts w:hint="eastAsia" w:ascii="黑体" w:hAnsi="黑体" w:eastAsia="黑体" w:cs="Arial"/>
          <w:b/>
          <w:kern w:val="0"/>
          <w:sz w:val="28"/>
          <w:szCs w:val="28"/>
        </w:rPr>
        <w:t>商务要求</w:t>
      </w:r>
    </w:p>
    <w:p>
      <w:pPr>
        <w:spacing w:line="360" w:lineRule="auto"/>
        <w:rPr>
          <w:szCs w:val="21"/>
        </w:rPr>
      </w:pPr>
      <w:r>
        <w:rPr>
          <w:rFonts w:hint="eastAsia"/>
          <w:szCs w:val="21"/>
        </w:rPr>
        <w:t>1．报价要求</w:t>
      </w:r>
    </w:p>
    <w:p>
      <w:pPr>
        <w:spacing w:line="360" w:lineRule="auto"/>
        <w:rPr>
          <w:szCs w:val="21"/>
        </w:rPr>
      </w:pPr>
      <w:r>
        <w:rPr>
          <w:rFonts w:hint="eastAsia"/>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pPr>
        <w:spacing w:line="360" w:lineRule="auto"/>
        <w:rPr>
          <w:szCs w:val="21"/>
        </w:rPr>
      </w:pPr>
      <w:r>
        <w:rPr>
          <w:rFonts w:hint="eastAsia"/>
          <w:szCs w:val="21"/>
        </w:rPr>
        <w:t>2.合同签订日期</w:t>
      </w:r>
    </w:p>
    <w:p>
      <w:pPr>
        <w:spacing w:line="360" w:lineRule="auto"/>
        <w:rPr>
          <w:rFonts w:hint="eastAsia"/>
          <w:szCs w:val="21"/>
        </w:rPr>
      </w:pPr>
      <w:r>
        <w:rPr>
          <w:rFonts w:hint="eastAsia"/>
          <w:szCs w:val="21"/>
        </w:rPr>
        <w:t>成交通知书发出后5</w:t>
      </w:r>
      <w:r>
        <w:rPr>
          <w:rFonts w:hint="eastAsia"/>
          <w:szCs w:val="21"/>
          <w:lang w:eastAsia="zh-CN"/>
        </w:rPr>
        <w:t>个工行</w:t>
      </w:r>
      <w:r>
        <w:rPr>
          <w:rFonts w:hint="eastAsia"/>
          <w:szCs w:val="21"/>
        </w:rPr>
        <w:t>日内。</w:t>
      </w:r>
    </w:p>
    <w:p>
      <w:pPr>
        <w:spacing w:line="360" w:lineRule="auto"/>
        <w:rPr>
          <w:szCs w:val="21"/>
        </w:rPr>
      </w:pPr>
      <w:r>
        <w:rPr>
          <w:rFonts w:hint="eastAsia"/>
          <w:szCs w:val="21"/>
        </w:rPr>
        <w:t>3.交货（实施）时间</w:t>
      </w:r>
    </w:p>
    <w:p>
      <w:pPr>
        <w:spacing w:line="360" w:lineRule="auto"/>
        <w:rPr>
          <w:szCs w:val="21"/>
          <w:highlight w:val="none"/>
        </w:rPr>
      </w:pPr>
      <w:r>
        <w:rPr>
          <w:rFonts w:hint="eastAsia" w:ascii="宋体" w:hAnsi="宋体" w:cs="宋体"/>
          <w:color w:val="000000"/>
          <w:sz w:val="22"/>
          <w:szCs w:val="22"/>
          <w:highlight w:val="none"/>
        </w:rPr>
        <w:t>自签订合同之日起</w:t>
      </w:r>
      <w:r>
        <w:rPr>
          <w:rFonts w:hint="eastAsia" w:ascii="宋体" w:hAnsi="宋体" w:cs="宋体"/>
          <w:color w:val="000000"/>
          <w:sz w:val="22"/>
          <w:szCs w:val="22"/>
          <w:highlight w:val="none"/>
          <w:lang w:val="en-US" w:eastAsia="zh-CN"/>
        </w:rPr>
        <w:t>20日内安装调试验收合格并交付</w:t>
      </w:r>
      <w:r>
        <w:rPr>
          <w:rFonts w:hint="eastAsia" w:ascii="宋体" w:hAnsi="宋体" w:cs="宋体"/>
          <w:color w:val="000000"/>
          <w:sz w:val="22"/>
          <w:szCs w:val="22"/>
          <w:highlight w:val="none"/>
          <w:lang w:eastAsia="zh-CN"/>
        </w:rPr>
        <w:t>使用</w:t>
      </w:r>
      <w:r>
        <w:rPr>
          <w:rFonts w:hint="eastAsia"/>
          <w:szCs w:val="21"/>
          <w:highlight w:val="none"/>
        </w:rPr>
        <w:t>。</w:t>
      </w:r>
    </w:p>
    <w:p>
      <w:pPr>
        <w:spacing w:line="360" w:lineRule="auto"/>
        <w:rPr>
          <w:szCs w:val="21"/>
        </w:rPr>
      </w:pPr>
      <w:r>
        <w:rPr>
          <w:rFonts w:hint="eastAsia"/>
          <w:szCs w:val="21"/>
        </w:rPr>
        <w:t>4.交货地点或服务地点</w:t>
      </w:r>
    </w:p>
    <w:p>
      <w:pPr>
        <w:spacing w:line="360" w:lineRule="auto"/>
        <w:rPr>
          <w:szCs w:val="21"/>
        </w:rPr>
      </w:pPr>
      <w:r>
        <w:rPr>
          <w:rFonts w:hint="eastAsia"/>
          <w:szCs w:val="21"/>
        </w:rPr>
        <w:t>隆林各族自治县中医医院</w:t>
      </w:r>
      <w:r>
        <w:rPr>
          <w:szCs w:val="21"/>
        </w:rPr>
        <w:t>指定地点。</w:t>
      </w:r>
    </w:p>
    <w:p>
      <w:pPr>
        <w:spacing w:line="360" w:lineRule="auto"/>
        <w:rPr>
          <w:szCs w:val="21"/>
        </w:rPr>
      </w:pPr>
      <w:r>
        <w:rPr>
          <w:rFonts w:hint="eastAsia"/>
          <w:szCs w:val="21"/>
        </w:rPr>
        <w:t>5.验收标准</w:t>
      </w:r>
    </w:p>
    <w:p>
      <w:pPr>
        <w:spacing w:line="360" w:lineRule="auto"/>
        <w:rPr>
          <w:rFonts w:hint="eastAsia"/>
          <w:szCs w:val="21"/>
        </w:rPr>
      </w:pPr>
      <w:r>
        <w:rPr>
          <w:szCs w:val="21"/>
        </w:rPr>
        <w:t>5.</w:t>
      </w:r>
      <w:r>
        <w:rPr>
          <w:rFonts w:hint="eastAsia"/>
          <w:szCs w:val="21"/>
        </w:rPr>
        <w:t>1、成交供应商需承担供货时产品质量抽样检测的相关费用以及项目验收时发生的一切费用。</w:t>
      </w:r>
    </w:p>
    <w:p>
      <w:pPr>
        <w:spacing w:line="360" w:lineRule="auto"/>
        <w:rPr>
          <w:rFonts w:hint="eastAsia"/>
          <w:szCs w:val="21"/>
        </w:rPr>
      </w:pPr>
      <w:r>
        <w:rPr>
          <w:szCs w:val="21"/>
        </w:rPr>
        <w:t>5.2</w:t>
      </w:r>
      <w:r>
        <w:rPr>
          <w:rFonts w:hint="eastAsia"/>
          <w:szCs w:val="21"/>
        </w:rPr>
        <w:t>、采购人将依据采购文件上的技术要求和国家有关质量标准对成交人提交的货物进行初步验收，初步验收不合格的，采购人有权不予签收；在本项目验收时，成交人如提供不符合采购文件、响应文件和采购合同规定的服务，采购人有权拒绝接受，由此产生的一切损失均由成交人自行承担。</w:t>
      </w:r>
    </w:p>
    <w:p>
      <w:pPr>
        <w:spacing w:line="360" w:lineRule="auto"/>
        <w:rPr>
          <w:rFonts w:hint="eastAsia"/>
          <w:szCs w:val="21"/>
        </w:rPr>
      </w:pPr>
      <w:r>
        <w:rPr>
          <w:szCs w:val="21"/>
        </w:rPr>
        <w:t>5.3</w:t>
      </w:r>
      <w:r>
        <w:rPr>
          <w:rFonts w:hint="eastAsia"/>
          <w:szCs w:val="21"/>
        </w:rPr>
        <w:t>、当项目完成后，由成交人向采购人提出项目竣工测试申请，并于验收前向采购人提供一切有关技术文件、资料、图纸和相关记录等竣工材料，并在竣工前</w:t>
      </w:r>
      <w:r>
        <w:rPr>
          <w:szCs w:val="21"/>
        </w:rPr>
        <w:t>3</w:t>
      </w:r>
      <w:r>
        <w:rPr>
          <w:rFonts w:hint="eastAsia"/>
          <w:szCs w:val="21"/>
        </w:rPr>
        <w:t>个工作日通知采购人及有关部门准备验收。拟竣工项目的实施总体功能、性能符合采购人认可的技术设计方案及合同规定的，予以验收，并作出验收结果报告。供需双方签署项目终验验收证书，并自正式交付使用之日起，整体项目才视为接受，并开始计算维保期。</w:t>
      </w:r>
    </w:p>
    <w:p>
      <w:pPr>
        <w:spacing w:line="360" w:lineRule="auto"/>
        <w:rPr>
          <w:szCs w:val="21"/>
        </w:rPr>
      </w:pPr>
      <w:r>
        <w:rPr>
          <w:szCs w:val="21"/>
        </w:rPr>
        <w:t>5.4</w:t>
      </w:r>
      <w:r>
        <w:rPr>
          <w:rFonts w:hint="eastAsia"/>
          <w:szCs w:val="21"/>
        </w:rPr>
        <w:t xml:space="preserve"> 验收标准</w:t>
      </w:r>
    </w:p>
    <w:p>
      <w:pPr>
        <w:spacing w:line="360" w:lineRule="auto"/>
        <w:rPr>
          <w:szCs w:val="21"/>
        </w:rPr>
      </w:pPr>
      <w:r>
        <w:rPr>
          <w:rFonts w:hint="eastAsia"/>
          <w:szCs w:val="21"/>
        </w:rPr>
        <w:t>1）项目采购文件及成交人响应文件中的“技术要求的响应表”，逐条验收；</w:t>
      </w:r>
    </w:p>
    <w:p>
      <w:pPr>
        <w:spacing w:line="360" w:lineRule="auto"/>
        <w:rPr>
          <w:szCs w:val="21"/>
        </w:rPr>
      </w:pPr>
      <w:r>
        <w:rPr>
          <w:rFonts w:hint="eastAsia"/>
          <w:szCs w:val="21"/>
        </w:rPr>
        <w:t>2）项目采购文件及成交人响应文件中的“商务要求的响应表”，逐条验收；</w:t>
      </w:r>
    </w:p>
    <w:p>
      <w:pPr>
        <w:spacing w:line="360" w:lineRule="auto"/>
        <w:rPr>
          <w:szCs w:val="21"/>
        </w:rPr>
      </w:pPr>
      <w:r>
        <w:rPr>
          <w:rFonts w:hint="eastAsia"/>
          <w:szCs w:val="21"/>
        </w:rPr>
        <w:t>3）成交人响应文件中其他技术、服务、商务性的说明、承诺事项，逐条验收；</w:t>
      </w:r>
    </w:p>
    <w:p>
      <w:pPr>
        <w:spacing w:line="360" w:lineRule="auto"/>
        <w:rPr>
          <w:szCs w:val="21"/>
        </w:rPr>
      </w:pPr>
      <w:r>
        <w:rPr>
          <w:rFonts w:hint="eastAsia"/>
          <w:szCs w:val="21"/>
        </w:rPr>
        <w:t>4）国家相关法律、法规、标准和规范等。</w:t>
      </w:r>
    </w:p>
    <w:p>
      <w:pPr>
        <w:spacing w:line="360" w:lineRule="auto"/>
        <w:rPr>
          <w:szCs w:val="21"/>
        </w:rPr>
      </w:pPr>
      <w:r>
        <w:rPr>
          <w:rFonts w:hint="eastAsia"/>
          <w:szCs w:val="21"/>
        </w:rPr>
        <w:t>其余内容</w:t>
      </w:r>
      <w:r>
        <w:rPr>
          <w:szCs w:val="21"/>
        </w:rPr>
        <w:t>详见采购文件合同主要条款格式部分</w:t>
      </w:r>
    </w:p>
    <w:p>
      <w:pPr>
        <w:spacing w:line="360" w:lineRule="auto"/>
        <w:rPr>
          <w:szCs w:val="21"/>
        </w:rPr>
      </w:pPr>
      <w:r>
        <w:rPr>
          <w:rFonts w:hint="eastAsia"/>
          <w:szCs w:val="21"/>
        </w:rPr>
        <w:t>6.服务标准、期限、效率</w:t>
      </w:r>
    </w:p>
    <w:p>
      <w:pPr>
        <w:spacing w:line="360" w:lineRule="auto"/>
        <w:rPr>
          <w:rFonts w:hint="eastAsia"/>
          <w:szCs w:val="21"/>
        </w:rPr>
      </w:pPr>
      <w:r>
        <w:rPr>
          <w:szCs w:val="21"/>
        </w:rPr>
        <w:t>6.1</w:t>
      </w:r>
      <w:r>
        <w:rPr>
          <w:rFonts w:hint="eastAsia"/>
          <w:szCs w:val="21"/>
        </w:rPr>
        <w:t>质保期</w:t>
      </w:r>
    </w:p>
    <w:p>
      <w:pPr>
        <w:spacing w:line="360" w:lineRule="auto"/>
        <w:rPr>
          <w:rFonts w:hint="eastAsia"/>
          <w:szCs w:val="21"/>
        </w:rPr>
      </w:pPr>
      <w:r>
        <w:rPr>
          <w:rFonts w:hint="eastAsia" w:ascii="宋体" w:hAnsi="宋体" w:cs="Arial"/>
          <w:szCs w:val="21"/>
        </w:rPr>
        <w:t>整机（含</w:t>
      </w:r>
      <w:r>
        <w:rPr>
          <w:rFonts w:hint="eastAsia" w:ascii="宋体" w:hAnsi="宋体" w:cs="Arial"/>
          <w:szCs w:val="21"/>
          <w:lang w:eastAsia="zh-CN"/>
        </w:rPr>
        <w:t>必要配件</w:t>
      </w:r>
      <w:r>
        <w:rPr>
          <w:rFonts w:hint="eastAsia" w:ascii="宋体" w:hAnsi="宋体" w:cs="Arial"/>
          <w:szCs w:val="21"/>
        </w:rPr>
        <w:t>）原厂（或原厂授权的维保商）维保≥</w:t>
      </w:r>
      <w:r>
        <w:rPr>
          <w:rFonts w:hint="eastAsia" w:ascii="宋体" w:hAnsi="宋体" w:cs="Arial"/>
          <w:szCs w:val="21"/>
          <w:lang w:val="en-US" w:eastAsia="zh-CN"/>
        </w:rPr>
        <w:t>1</w:t>
      </w:r>
      <w:r>
        <w:rPr>
          <w:rFonts w:hint="eastAsia" w:ascii="宋体" w:hAnsi="宋体" w:cs="Arial"/>
          <w:szCs w:val="21"/>
        </w:rPr>
        <w:t>年，签订合同前</w:t>
      </w:r>
      <w:r>
        <w:rPr>
          <w:rFonts w:hint="eastAsia"/>
          <w:szCs w:val="21"/>
        </w:rPr>
        <w:t>原厂提供直接针对本项目开具</w:t>
      </w:r>
      <w:r>
        <w:rPr>
          <w:rFonts w:hint="eastAsia"/>
          <w:szCs w:val="21"/>
          <w:lang w:val="en-US" w:eastAsia="zh-CN"/>
        </w:rPr>
        <w:t>1</w:t>
      </w:r>
      <w:r>
        <w:rPr>
          <w:rFonts w:hint="eastAsia"/>
          <w:szCs w:val="21"/>
        </w:rPr>
        <w:t>年维保服务承诺书（如为</w:t>
      </w:r>
      <w:r>
        <w:rPr>
          <w:rFonts w:hint="eastAsia" w:ascii="宋体" w:hAnsi="宋体" w:cs="Arial"/>
          <w:szCs w:val="21"/>
        </w:rPr>
        <w:t>原厂授权的维保服务商，则由维保服务商提供</w:t>
      </w:r>
      <w:r>
        <w:rPr>
          <w:rFonts w:hint="eastAsia"/>
          <w:szCs w:val="21"/>
        </w:rPr>
        <w:t>针对本项目提供</w:t>
      </w:r>
      <w:r>
        <w:rPr>
          <w:rFonts w:hint="eastAsia"/>
          <w:szCs w:val="21"/>
          <w:lang w:val="en-US" w:eastAsia="zh-CN"/>
        </w:rPr>
        <w:t>1</w:t>
      </w:r>
      <w:r>
        <w:rPr>
          <w:rFonts w:hint="eastAsia"/>
          <w:szCs w:val="21"/>
        </w:rPr>
        <w:t>年的维保服务承诺书）。质保期内全免费上门维修、免费更换零部件。质保期满后，终身维护。</w:t>
      </w:r>
    </w:p>
    <w:p>
      <w:pPr>
        <w:spacing w:line="360" w:lineRule="auto"/>
        <w:rPr>
          <w:szCs w:val="21"/>
        </w:rPr>
      </w:pPr>
      <w:r>
        <w:rPr>
          <w:szCs w:val="21"/>
        </w:rPr>
        <w:t>6.2</w:t>
      </w:r>
      <w:r>
        <w:rPr>
          <w:rFonts w:hint="eastAsia"/>
          <w:szCs w:val="21"/>
          <w:lang w:val="en-US" w:eastAsia="zh-CN"/>
        </w:rPr>
        <w:t>成交</w:t>
      </w:r>
      <w:r>
        <w:rPr>
          <w:szCs w:val="21"/>
        </w:rPr>
        <w:t>供应商应按照国家有关法律法规和“三包”规定以及</w:t>
      </w:r>
      <w:r>
        <w:rPr>
          <w:rFonts w:hint="eastAsia"/>
          <w:szCs w:val="21"/>
          <w:lang w:val="en-US" w:eastAsia="zh-CN"/>
        </w:rPr>
        <w:t>采购</w:t>
      </w:r>
      <w:r>
        <w:rPr>
          <w:szCs w:val="21"/>
        </w:rPr>
        <w:t>文件、</w:t>
      </w:r>
      <w:r>
        <w:rPr>
          <w:rFonts w:hint="eastAsia"/>
          <w:szCs w:val="21"/>
          <w:lang w:val="en-US" w:eastAsia="zh-CN"/>
        </w:rPr>
        <w:t>竞</w:t>
      </w:r>
      <w:r>
        <w:rPr>
          <w:szCs w:val="21"/>
        </w:rPr>
        <w:t>标文件、合同及附件的规定，为采购人提供售后服务。</w:t>
      </w:r>
      <w:r>
        <w:rPr>
          <w:rFonts w:hint="eastAsia"/>
          <w:szCs w:val="21"/>
          <w:lang w:val="en-US" w:eastAsia="zh-CN"/>
        </w:rPr>
        <w:t>成交</w:t>
      </w:r>
      <w:r>
        <w:rPr>
          <w:szCs w:val="21"/>
        </w:rPr>
        <w:t>供应商承诺质量保证期优于国家“三包”规定的，或优于</w:t>
      </w:r>
      <w:r>
        <w:rPr>
          <w:rFonts w:hint="eastAsia"/>
          <w:szCs w:val="21"/>
          <w:lang w:val="en-US" w:eastAsia="zh-CN"/>
        </w:rPr>
        <w:t>采购</w:t>
      </w:r>
      <w:r>
        <w:rPr>
          <w:szCs w:val="21"/>
        </w:rPr>
        <w:t>文件规定的，按</w:t>
      </w:r>
      <w:r>
        <w:rPr>
          <w:rFonts w:hint="eastAsia"/>
          <w:szCs w:val="21"/>
          <w:lang w:val="en-US" w:eastAsia="zh-CN"/>
        </w:rPr>
        <w:t>成交</w:t>
      </w:r>
      <w:r>
        <w:rPr>
          <w:szCs w:val="21"/>
        </w:rPr>
        <w:t>供应商实际承诺执行。</w:t>
      </w:r>
    </w:p>
    <w:p>
      <w:pPr>
        <w:spacing w:line="360" w:lineRule="auto"/>
        <w:rPr>
          <w:szCs w:val="21"/>
        </w:rPr>
      </w:pPr>
      <w:r>
        <w:rPr>
          <w:szCs w:val="21"/>
        </w:rPr>
        <w:t>6.3负责派合格的工程师到现场进行设备安装、调试，达到正常运作要求，保证机器正常使用。保质期内，设备发生故障或不能使用，</w:t>
      </w:r>
      <w:r>
        <w:rPr>
          <w:rFonts w:hint="eastAsia"/>
          <w:szCs w:val="21"/>
          <w:lang w:val="en-US" w:eastAsia="zh-CN"/>
        </w:rPr>
        <w:t>成交</w:t>
      </w:r>
      <w:r>
        <w:rPr>
          <w:szCs w:val="21"/>
        </w:rPr>
        <w:t>人应在接到通知后2小时响应，24小时内派人到现场解决问题，所有费用由</w:t>
      </w:r>
      <w:r>
        <w:rPr>
          <w:rFonts w:hint="eastAsia"/>
          <w:szCs w:val="21"/>
          <w:lang w:val="en-US" w:eastAsia="zh-CN"/>
        </w:rPr>
        <w:t>成交</w:t>
      </w:r>
      <w:r>
        <w:rPr>
          <w:szCs w:val="21"/>
        </w:rPr>
        <w:t>人承担。</w:t>
      </w:r>
    </w:p>
    <w:p>
      <w:pPr>
        <w:spacing w:line="360" w:lineRule="auto"/>
        <w:rPr>
          <w:szCs w:val="21"/>
        </w:rPr>
      </w:pPr>
      <w:r>
        <w:rPr>
          <w:szCs w:val="21"/>
        </w:rPr>
        <w:t>6.4</w:t>
      </w:r>
      <w:r>
        <w:rPr>
          <w:rFonts w:hint="eastAsia"/>
          <w:szCs w:val="21"/>
          <w:lang w:val="en-US" w:eastAsia="zh-CN"/>
        </w:rPr>
        <w:t>成交</w:t>
      </w:r>
      <w:r>
        <w:rPr>
          <w:szCs w:val="21"/>
        </w:rPr>
        <w:t>人或厂家服务机构提供24小时365天免费维修服务热线支持。</w:t>
      </w:r>
    </w:p>
    <w:p>
      <w:pPr>
        <w:spacing w:line="360" w:lineRule="auto"/>
        <w:rPr>
          <w:rFonts w:ascii="Arial" w:hAnsi="Arial" w:cs="Arial"/>
          <w:szCs w:val="21"/>
        </w:rPr>
      </w:pPr>
      <w:r>
        <w:rPr>
          <w:szCs w:val="21"/>
        </w:rPr>
        <w:t>6.5售后服务承诺书中根据</w:t>
      </w:r>
      <w:r>
        <w:rPr>
          <w:rFonts w:hint="eastAsia"/>
          <w:szCs w:val="21"/>
          <w:lang w:val="en-US" w:eastAsia="zh-CN"/>
        </w:rPr>
        <w:t>采购</w:t>
      </w:r>
      <w:r>
        <w:rPr>
          <w:szCs w:val="21"/>
        </w:rPr>
        <w:t>人的实际情况对质量保证及售后服务方案做出详细服务承诺、提供详细</w:t>
      </w:r>
      <w:r>
        <w:rPr>
          <w:rFonts w:ascii="Arial" w:hAnsi="Arial" w:cs="Arial"/>
          <w:szCs w:val="21"/>
        </w:rPr>
        <w:t>的保养计划</w:t>
      </w:r>
      <w:r>
        <w:rPr>
          <w:rFonts w:hint="eastAsia"/>
          <w:szCs w:val="21"/>
        </w:rPr>
        <w:t>。</w:t>
      </w:r>
    </w:p>
    <w:p>
      <w:pPr>
        <w:spacing w:line="360" w:lineRule="auto"/>
        <w:rPr>
          <w:szCs w:val="21"/>
        </w:rPr>
      </w:pPr>
      <w:r>
        <w:rPr>
          <w:rFonts w:hint="eastAsia"/>
          <w:szCs w:val="21"/>
        </w:rPr>
        <w:t>7.培训</w:t>
      </w:r>
    </w:p>
    <w:p>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pPr>
        <w:spacing w:line="360" w:lineRule="auto"/>
        <w:rPr>
          <w:szCs w:val="21"/>
        </w:rPr>
      </w:pPr>
      <w:r>
        <w:rPr>
          <w:rFonts w:hint="eastAsia"/>
          <w:szCs w:val="21"/>
        </w:rPr>
        <w:t>8.付款方式、时间及条件</w:t>
      </w:r>
    </w:p>
    <w:p>
      <w:pPr>
        <w:spacing w:after="0" w:line="420" w:lineRule="exact"/>
        <w:ind w:firstLine="420" w:firstLineChars="200"/>
        <w:jc w:val="both"/>
        <w:textAlignment w:val="baseline"/>
        <w:rPr>
          <w:rFonts w:hint="eastAsia" w:ascii="宋体" w:hAnsi="宋体" w:eastAsia="宋体" w:cs="Arial"/>
          <w:bCs/>
          <w:color w:val="000000"/>
          <w:sz w:val="21"/>
          <w:szCs w:val="21"/>
          <w:highlight w:val="none"/>
          <w:lang w:val="en-US" w:eastAsia="zh-CN"/>
        </w:rPr>
      </w:pPr>
      <w:r>
        <w:rPr>
          <w:rFonts w:hint="eastAsia" w:ascii="宋体" w:hAnsi="宋体" w:eastAsia="宋体" w:cs="Arial"/>
          <w:bCs/>
          <w:color w:val="000000"/>
          <w:sz w:val="21"/>
          <w:szCs w:val="21"/>
          <w:highlight w:val="none"/>
          <w:lang w:val="en-US" w:eastAsia="zh-CN"/>
        </w:rPr>
        <w:t>支付形式：采用银行转账方式，采购人（或相关付款责任方）将款项直接汇入成交供应商指定的合法有效银行账户（成交供应商需提前提供账户信息并确保真实性、有效性）。（2）付款计划：因本项目资金由财政局统一拨付（资金来源为2025年中央补助广西医疗服务与保障能力提升专项资金），专项资金下拨后一次性拨付全部款项。</w:t>
      </w:r>
    </w:p>
    <w:p>
      <w:pPr>
        <w:spacing w:after="0" w:line="420" w:lineRule="exact"/>
        <w:ind w:firstLine="420" w:firstLineChars="200"/>
        <w:jc w:val="both"/>
        <w:textAlignment w:val="baseline"/>
        <w:rPr>
          <w:rFonts w:hint="eastAsia" w:ascii="宋体" w:hAnsi="宋体" w:eastAsia="宋体" w:cs="Arial"/>
          <w:bCs/>
          <w:color w:val="000000"/>
          <w:sz w:val="21"/>
          <w:szCs w:val="21"/>
          <w:highlight w:val="none"/>
          <w:lang w:val="en-US" w:eastAsia="zh-CN"/>
        </w:rPr>
      </w:pPr>
    </w:p>
    <w:p>
      <w:pPr>
        <w:spacing w:line="360" w:lineRule="auto"/>
        <w:rPr>
          <w:szCs w:val="21"/>
        </w:rPr>
      </w:pPr>
      <w:r>
        <w:rPr>
          <w:rFonts w:hint="eastAsia"/>
          <w:szCs w:val="21"/>
          <w:lang w:val="en-US" w:eastAsia="zh-CN"/>
        </w:rPr>
        <w:t>9</w:t>
      </w:r>
      <w:r>
        <w:rPr>
          <w:rFonts w:hint="eastAsia"/>
          <w:szCs w:val="21"/>
        </w:rPr>
        <w:t>.包装和运输要求</w:t>
      </w:r>
    </w:p>
    <w:p>
      <w:pPr>
        <w:spacing w:line="360" w:lineRule="auto"/>
        <w:rPr>
          <w:szCs w:val="21"/>
        </w:rPr>
      </w:pPr>
      <w:r>
        <w:rPr>
          <w:rFonts w:hint="eastAsia"/>
          <w:szCs w:val="21"/>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pPr>
        <w:spacing w:line="360" w:lineRule="auto"/>
        <w:rPr>
          <w:szCs w:val="21"/>
        </w:rPr>
      </w:pPr>
      <w:r>
        <w:rPr>
          <w:rFonts w:hint="eastAsia"/>
          <w:szCs w:val="21"/>
        </w:rPr>
        <w:t>运输要求详见采购文件合同主要条款格式部分。</w:t>
      </w:r>
    </w:p>
    <w:p>
      <w:pPr>
        <w:spacing w:line="360" w:lineRule="auto"/>
        <w:rPr>
          <w:szCs w:val="21"/>
        </w:rPr>
      </w:pPr>
      <w:r>
        <w:rPr>
          <w:rFonts w:hint="eastAsia"/>
          <w:szCs w:val="21"/>
        </w:rPr>
        <w:t>1</w:t>
      </w:r>
      <w:r>
        <w:rPr>
          <w:rFonts w:hint="eastAsia"/>
          <w:szCs w:val="21"/>
          <w:lang w:val="en-US" w:eastAsia="zh-CN"/>
        </w:rPr>
        <w:t>0</w:t>
      </w:r>
      <w:r>
        <w:rPr>
          <w:rFonts w:hint="eastAsia"/>
          <w:szCs w:val="21"/>
        </w:rPr>
        <w:t>.保险</w:t>
      </w:r>
    </w:p>
    <w:p>
      <w:pPr>
        <w:spacing w:line="360" w:lineRule="auto"/>
        <w:rPr>
          <w:rFonts w:ascii="宋体" w:hAnsi="宋体" w:eastAsia="宋体" w:cs="宋体"/>
          <w:b/>
          <w:color w:val="auto"/>
          <w:sz w:val="24"/>
          <w:szCs w:val="24"/>
          <w:highlight w:val="none"/>
        </w:rPr>
      </w:pPr>
      <w:r>
        <w:rPr>
          <w:rFonts w:hint="eastAsia"/>
          <w:szCs w:val="21"/>
        </w:rPr>
        <w:t>供应商负责办理运输和保险，将货物运抵交货地点。与运输、保险相关的费用由供应商承担。</w:t>
      </w: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hint="eastAsia" w:ascii="宋体" w:hAnsi="宋体" w:eastAsia="宋体" w:cs="宋体"/>
          <w:b/>
          <w:color w:val="auto"/>
          <w:sz w:val="28"/>
          <w:highlight w:val="none"/>
        </w:rPr>
      </w:pPr>
    </w:p>
    <w:p>
      <w:pPr>
        <w:keepNext/>
        <w:tabs>
          <w:tab w:val="left" w:pos="426"/>
        </w:tabs>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第四章  合同协议书</w:t>
      </w:r>
    </w:p>
    <w:p>
      <w:pPr>
        <w:autoSpaceDE w:val="0"/>
        <w:autoSpaceDN w:val="0"/>
        <w:spacing w:line="200" w:lineRule="exact"/>
        <w:rPr>
          <w:rFonts w:ascii="宋体" w:hAnsi="宋体" w:eastAsia="宋体" w:cs="宋体"/>
          <w:color w:val="auto"/>
          <w:sz w:val="28"/>
          <w:highlight w:val="none"/>
        </w:rPr>
      </w:pPr>
    </w:p>
    <w:p>
      <w:pPr>
        <w:spacing w:line="28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合同协议书（格式）</w:t>
      </w:r>
    </w:p>
    <w:p>
      <w:pPr>
        <w:wordWrap w:val="0"/>
        <w:adjustRightInd/>
        <w:spacing w:line="360" w:lineRule="auto"/>
        <w:ind w:right="332"/>
        <w:jc w:val="both"/>
        <w:rPr>
          <w:rFonts w:ascii="宋体" w:hAnsi="宋体" w:eastAsia="宋体" w:cs="宋体"/>
          <w:bCs/>
          <w:color w:val="auto"/>
          <w:sz w:val="24"/>
          <w:szCs w:val="24"/>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 w:val="24"/>
          <w:szCs w:val="24"/>
          <w:highlight w:val="none"/>
        </w:rPr>
        <w:t xml:space="preserve">                                             </w:t>
      </w:r>
    </w:p>
    <w:p>
      <w:pPr>
        <w:spacing w:after="0" w:line="40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项目名称</w:t>
      </w:r>
      <w:r>
        <w:rPr>
          <w:rStyle w:val="46"/>
          <w:rFonts w:hint="eastAsia" w:ascii="宋体" w:hAnsi="宋体" w:eastAsia="宋体" w:cs="宋体"/>
          <w:color w:val="auto"/>
          <w:spacing w:val="-20"/>
          <w:szCs w:val="21"/>
          <w:highlight w:val="none"/>
        </w:rPr>
        <w:t>：</w:t>
      </w:r>
    </w:p>
    <w:p>
      <w:pPr>
        <w:spacing w:after="0" w:line="40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项目编号</w:t>
      </w:r>
      <w:r>
        <w:rPr>
          <w:rStyle w:val="46"/>
          <w:rFonts w:hint="eastAsia" w:ascii="宋体" w:hAnsi="宋体" w:eastAsia="宋体" w:cs="宋体"/>
          <w:color w:val="auto"/>
          <w:spacing w:val="-20"/>
          <w:szCs w:val="21"/>
          <w:highlight w:val="none"/>
        </w:rPr>
        <w:t>：</w:t>
      </w:r>
    </w:p>
    <w:p>
      <w:pPr>
        <w:spacing w:after="0" w:line="40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采购单位（甲方）：</w:t>
      </w:r>
      <w:r>
        <w:rPr>
          <w:rStyle w:val="46"/>
          <w:rFonts w:hint="eastAsia" w:ascii="宋体" w:hAnsi="宋体" w:eastAsia="宋体" w:cs="宋体"/>
          <w:color w:val="auto"/>
          <w:szCs w:val="21"/>
          <w:highlight w:val="none"/>
          <w:u w:val="single" w:color="000000"/>
        </w:rPr>
        <w:t xml:space="preserve">                  </w:t>
      </w:r>
    </w:p>
    <w:p>
      <w:pPr>
        <w:spacing w:after="0" w:line="40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供 应 商（乙方）：</w:t>
      </w:r>
      <w:r>
        <w:rPr>
          <w:rStyle w:val="46"/>
          <w:rFonts w:hint="eastAsia" w:ascii="宋体" w:hAnsi="宋体" w:eastAsia="宋体" w:cs="宋体"/>
          <w:color w:val="auto"/>
          <w:szCs w:val="21"/>
          <w:highlight w:val="none"/>
          <w:u w:val="single" w:color="000000"/>
        </w:rPr>
        <w:t xml:space="preserve">                  </w:t>
      </w:r>
    </w:p>
    <w:p>
      <w:pPr>
        <w:spacing w:after="0" w:line="40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签订地点：                                    签订时间：   年  月  日</w:t>
      </w:r>
    </w:p>
    <w:p>
      <w:pPr>
        <w:spacing w:after="0" w:line="400" w:lineRule="exact"/>
        <w:ind w:firstLine="420" w:firstLineChars="200"/>
        <w:jc w:val="both"/>
        <w:textAlignment w:val="baseline"/>
        <w:rPr>
          <w:rStyle w:val="46"/>
          <w:rFonts w:ascii="宋体" w:hAnsi="宋体" w:eastAsia="宋体" w:cs="宋体"/>
          <w:color w:val="auto"/>
          <w:szCs w:val="21"/>
          <w:highlight w:val="none"/>
        </w:rPr>
      </w:pP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根据《中华人民共和国政府采购法》、《中华人民共和国民法典》等法律、法规规定，按照招投标文件（采购文件）规定条款和中标投标人承诺，甲乙双方签订本合同。</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第一条　合同标的</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1.供货一览表</w:t>
      </w:r>
    </w:p>
    <w:tbl>
      <w:tblPr>
        <w:tblStyle w:val="21"/>
        <w:tblW w:w="930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200"/>
        <w:gridCol w:w="860"/>
        <w:gridCol w:w="1233"/>
        <w:gridCol w:w="1210"/>
        <w:gridCol w:w="908"/>
        <w:gridCol w:w="668"/>
        <w:gridCol w:w="947"/>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产品名称</w:t>
            </w: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商标品牌</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规格型号</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生产厂家</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数  量</w:t>
            </w:r>
          </w:p>
        </w:tc>
        <w:tc>
          <w:tcPr>
            <w:tcW w:w="66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单位</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单  价</w:t>
            </w:r>
          </w:p>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（元）</w:t>
            </w: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金  额</w:t>
            </w:r>
          </w:p>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9300" w:type="dxa"/>
            <w:gridSpan w:val="9"/>
            <w:tcBorders>
              <w:top w:val="single" w:color="000000" w:sz="4" w:space="0"/>
              <w:left w:val="single" w:color="000000" w:sz="4" w:space="0"/>
              <w:bottom w:val="single" w:color="000000" w:sz="4" w:space="0"/>
              <w:right w:val="single" w:color="000000" w:sz="4" w:space="0"/>
            </w:tcBorders>
            <w:vAlign w:val="center"/>
          </w:tcPr>
          <w:p>
            <w:pPr>
              <w:spacing w:after="0" w:line="420" w:lineRule="exact"/>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人民币合计金额：</w:t>
            </w:r>
          </w:p>
        </w:tc>
      </w:tr>
    </w:tbl>
    <w:p>
      <w:pPr>
        <w:spacing w:after="0" w:line="420" w:lineRule="exact"/>
        <w:ind w:right="52"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2.合同合计金额包括货物价款，备件、专用工具、安装、调试、检验、技术培训及技术资料和包装、运输等全部费用。如招投标文件对其另有规定的，从其规定。</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第二条　质量保证</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1.乙方所提供的货物型号、技术规格、技术参数等质量必须与招投标文件和承诺相一致。乙方提供的自主创新产品、节能和环保产品必须是列入政府采购清单的产品。</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2.乙方所提供的货物必须是全新、未经使用的原装产品，</w:t>
      </w:r>
      <w:r>
        <w:rPr>
          <w:rStyle w:val="46"/>
          <w:rFonts w:hint="eastAsia" w:ascii="宋体" w:hAnsi="宋体" w:eastAsia="宋体" w:cs="宋体"/>
          <w:color w:val="auto"/>
          <w:szCs w:val="21"/>
          <w:highlight w:val="none"/>
          <w:lang w:val="en-US" w:eastAsia="zh-CN"/>
        </w:rPr>
        <w:t>国产</w:t>
      </w:r>
      <w:r>
        <w:rPr>
          <w:rStyle w:val="46"/>
          <w:rFonts w:hint="eastAsia" w:ascii="宋体" w:hAnsi="宋体" w:eastAsia="宋体" w:cs="宋体"/>
          <w:color w:val="auto"/>
          <w:szCs w:val="21"/>
          <w:highlight w:val="none"/>
          <w:lang w:eastAsia="zh-CN"/>
        </w:rPr>
        <w:t>设备生产日期在</w:t>
      </w:r>
      <w:r>
        <w:rPr>
          <w:rStyle w:val="46"/>
          <w:rFonts w:hint="eastAsia" w:ascii="宋体" w:hAnsi="宋体" w:eastAsia="宋体" w:cs="宋体"/>
          <w:color w:val="auto"/>
          <w:szCs w:val="21"/>
          <w:highlight w:val="none"/>
          <w:lang w:val="en-US" w:eastAsia="zh-CN"/>
        </w:rPr>
        <w:t>竞标之日前半</w:t>
      </w:r>
      <w:r>
        <w:rPr>
          <w:rStyle w:val="46"/>
          <w:rFonts w:hint="eastAsia" w:ascii="宋体" w:hAnsi="宋体" w:eastAsia="宋体" w:cs="宋体"/>
          <w:color w:val="auto"/>
          <w:szCs w:val="21"/>
          <w:highlight w:val="none"/>
          <w:lang w:eastAsia="zh-CN"/>
        </w:rPr>
        <w:t>年内，</w:t>
      </w:r>
      <w:r>
        <w:rPr>
          <w:rStyle w:val="46"/>
          <w:rFonts w:hint="eastAsia" w:ascii="宋体" w:hAnsi="宋体" w:eastAsia="宋体" w:cs="宋体"/>
          <w:color w:val="auto"/>
          <w:szCs w:val="21"/>
          <w:highlight w:val="none"/>
          <w:lang w:val="en-US" w:eastAsia="zh-CN"/>
        </w:rPr>
        <w:t>进口设备生产日期在竞标之日前一年内，</w:t>
      </w:r>
      <w:r>
        <w:rPr>
          <w:rStyle w:val="46"/>
          <w:rFonts w:hint="eastAsia" w:ascii="宋体" w:hAnsi="宋体" w:eastAsia="宋体" w:cs="宋体"/>
          <w:color w:val="auto"/>
          <w:szCs w:val="21"/>
          <w:highlight w:val="none"/>
          <w:lang w:eastAsia="zh-CN"/>
        </w:rPr>
        <w:t>在装机、验收、入库期间有质量问题应提供整机更换或退货</w:t>
      </w:r>
      <w:r>
        <w:rPr>
          <w:rStyle w:val="46"/>
          <w:rFonts w:hint="eastAsia" w:ascii="宋体" w:hAnsi="宋体" w:eastAsia="宋体" w:cs="宋体"/>
          <w:color w:val="auto"/>
          <w:szCs w:val="21"/>
          <w:highlight w:val="none"/>
        </w:rPr>
        <w:t>；且在正常安装、使用和保养条件下，其使用寿命期内各项指标均达到质量要求。所有货物都提供使用说明书和详细装箱清单及质量合格证。</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第三条　权利保证</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乙方应保证所提供货物在使用时不会侵犯任何第三方的专利权、商标权、工业设计权或其他权利。</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乙方应按招标文件规定的时间向甲方提供使用货物的有关技术资料。</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乙方保证所交付的货物的所有权完全属于乙方且无任何抵押、质押、查封等产权瑕疵。</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第四条　包装和运输</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1.乙方提供的货物均应按招投标文件要求的包装材料、包装标准、包装方式进行包装，每一包装单元内应附详细的装箱单和质量合格证。</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2.货物的运输方式：</w:t>
      </w:r>
      <w:r>
        <w:rPr>
          <w:rStyle w:val="46"/>
          <w:rFonts w:hint="eastAsia" w:ascii="宋体" w:hAnsi="宋体" w:eastAsia="宋体" w:cs="宋体"/>
          <w:color w:val="auto"/>
          <w:szCs w:val="21"/>
          <w:highlight w:val="none"/>
          <w:u w:val="single" w:color="000000"/>
        </w:rPr>
        <w:t xml:space="preserve">  不限   </w:t>
      </w:r>
      <w:r>
        <w:rPr>
          <w:rStyle w:val="46"/>
          <w:rFonts w:hint="eastAsia" w:ascii="宋体" w:hAnsi="宋体" w:eastAsia="宋体" w:cs="宋体"/>
          <w:color w:val="auto"/>
          <w:szCs w:val="21"/>
          <w:highlight w:val="none"/>
        </w:rPr>
        <w:t>。</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3.乙方负责货物运输，货物运输合理损耗及计算方法：</w:t>
      </w:r>
      <w:r>
        <w:rPr>
          <w:rStyle w:val="46"/>
          <w:rFonts w:hint="eastAsia" w:ascii="宋体" w:hAnsi="宋体" w:eastAsia="宋体" w:cs="宋体"/>
          <w:color w:val="auto"/>
          <w:szCs w:val="21"/>
          <w:highlight w:val="none"/>
          <w:u w:val="single" w:color="000000"/>
        </w:rPr>
        <w:t xml:space="preserve">  本项目合同不接受损耗 </w:t>
      </w:r>
      <w:r>
        <w:rPr>
          <w:rStyle w:val="46"/>
          <w:rFonts w:hint="eastAsia" w:ascii="宋体" w:hAnsi="宋体" w:eastAsia="宋体" w:cs="宋体"/>
          <w:color w:val="auto"/>
          <w:szCs w:val="21"/>
          <w:highlight w:val="none"/>
        </w:rPr>
        <w:t>。</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第五条　交付和验收</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1.交付时间：合同签订之日起</w:t>
      </w:r>
      <w:r>
        <w:rPr>
          <w:rStyle w:val="46"/>
          <w:rFonts w:hint="eastAsia" w:ascii="宋体" w:hAnsi="宋体" w:eastAsia="宋体" w:cs="宋体"/>
          <w:color w:val="auto"/>
          <w:szCs w:val="21"/>
          <w:highlight w:val="none"/>
          <w:lang w:val="en-US"/>
        </w:rPr>
        <w:t>2</w:t>
      </w:r>
      <w:r>
        <w:rPr>
          <w:rStyle w:val="46"/>
          <w:rFonts w:hint="eastAsia" w:ascii="宋体" w:hAnsi="宋体" w:eastAsia="宋体" w:cs="宋体"/>
          <w:color w:val="auto"/>
          <w:szCs w:val="21"/>
          <w:highlight w:val="none"/>
        </w:rPr>
        <w:t>0日内完成供货，调试，通过验收并交付使用。</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2.交付地点：采购人指定地点。</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3.乙方提供不符合招投标文件和本合同规定的货物，甲方有权拒绝接受。</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4.乙方应将所提供货物的装箱清单、用户手册、原厂保修卡、随机资料、工具和备品、备件等交付给甲方，如有缺失应及时补齐，否则视为逾期交货。</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5.甲方应当在到货（安装、调试完）后七个工作日内进行验收，逾期不验收的，乙方可视同验收合格。验收合格后由甲乙双方签署货物验收单并加盖采购单位公章，甲乙双方各执一份。</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6.甲方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7.甲方对验收有异议的，在验收后十个工作日内以书面形式向乙方提出，乙方应自收到甲方书面异议后</w:t>
      </w:r>
      <w:r>
        <w:rPr>
          <w:rStyle w:val="46"/>
          <w:rFonts w:hint="eastAsia" w:ascii="宋体" w:hAnsi="宋体" w:eastAsia="宋体" w:cs="宋体"/>
          <w:color w:val="auto"/>
          <w:szCs w:val="21"/>
          <w:highlight w:val="none"/>
          <w:u w:val="single" w:color="000000"/>
        </w:rPr>
        <w:t xml:space="preserve"> 10个工作 </w:t>
      </w:r>
      <w:r>
        <w:rPr>
          <w:rStyle w:val="46"/>
          <w:rFonts w:hint="eastAsia" w:ascii="宋体" w:hAnsi="宋体" w:eastAsia="宋体" w:cs="宋体"/>
          <w:color w:val="auto"/>
          <w:szCs w:val="21"/>
          <w:highlight w:val="none"/>
        </w:rPr>
        <w:t>日内及时予以解决。</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第六条　安装和培训</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1.甲方应协调解决必要安装条件（如场地、电源、水源等）。</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2.乙方负责甲方有关人员的培训。培训时间、地点：</w:t>
      </w:r>
      <w:r>
        <w:rPr>
          <w:rStyle w:val="46"/>
          <w:rFonts w:hint="eastAsia" w:ascii="宋体" w:hAnsi="宋体" w:eastAsia="宋体" w:cs="宋体"/>
          <w:color w:val="auto"/>
          <w:szCs w:val="21"/>
          <w:highlight w:val="none"/>
          <w:u w:val="single" w:color="000000"/>
        </w:rPr>
        <w:t>见《售后服务承诺书》。</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第七条  售后服务、质保期</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1.乙方应按照国家有关法律法规和“三包”规定以及招投标文件和本合同所附的《服务承诺》，为甲方提供售后服务。</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2.货物质保期：</w:t>
      </w:r>
      <w:r>
        <w:rPr>
          <w:rStyle w:val="46"/>
          <w:rFonts w:hint="eastAsia" w:ascii="宋体" w:hAnsi="宋体" w:eastAsia="宋体" w:cs="宋体"/>
          <w:color w:val="auto"/>
          <w:szCs w:val="21"/>
          <w:highlight w:val="none"/>
          <w:u w:val="single" w:color="000000"/>
        </w:rPr>
        <w:t xml:space="preserve">                。</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3.乙方提供的服务承诺和售后服务及保修期责任等其它具体约定事项。（见合同附件）</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第八条　付款方式</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bCs/>
          <w:color w:val="auto"/>
          <w:szCs w:val="21"/>
          <w:highlight w:val="none"/>
        </w:rPr>
        <w:t>1.</w:t>
      </w:r>
      <w:r>
        <w:rPr>
          <w:rStyle w:val="46"/>
          <w:rFonts w:hint="eastAsia" w:hAnsi="宋体" w:eastAsia="宋体" w:cs="宋体"/>
          <w:color w:val="auto"/>
          <w:szCs w:val="21"/>
          <w:highlight w:val="none"/>
        </w:rPr>
        <w:t>当采购数量与实际使用数量不一致时，乙方应根据实际使用量供货，合同的最终结算金额按实际使用量乘以成交单价进行计算。</w:t>
      </w:r>
    </w:p>
    <w:p>
      <w:pPr>
        <w:spacing w:after="0" w:line="420" w:lineRule="exact"/>
        <w:ind w:firstLine="420" w:firstLineChars="200"/>
        <w:jc w:val="both"/>
        <w:textAlignment w:val="baseline"/>
        <w:rPr>
          <w:rStyle w:val="46"/>
          <w:rFonts w:hint="eastAsia" w:ascii="宋体" w:hAnsi="宋体" w:eastAsia="宋体" w:cs="宋体"/>
          <w:color w:val="auto"/>
          <w:szCs w:val="21"/>
          <w:highlight w:val="none"/>
        </w:rPr>
      </w:pPr>
      <w:r>
        <w:rPr>
          <w:rStyle w:val="46"/>
          <w:rFonts w:hint="eastAsia" w:ascii="宋体" w:hAnsi="宋体" w:eastAsia="宋体" w:cs="宋体"/>
          <w:color w:val="auto"/>
          <w:szCs w:val="21"/>
          <w:highlight w:val="none"/>
        </w:rPr>
        <w:t>2.资金性质：2025年中央补助广西医疗服务与保障能力提升资金。</w:t>
      </w:r>
    </w:p>
    <w:p>
      <w:pPr>
        <w:spacing w:after="0" w:line="420" w:lineRule="exact"/>
        <w:ind w:firstLine="422" w:firstLineChars="200"/>
        <w:jc w:val="both"/>
        <w:textAlignment w:val="baseline"/>
        <w:rPr>
          <w:rStyle w:val="46"/>
          <w:rFonts w:ascii="宋体" w:hAnsi="宋体" w:eastAsia="宋体" w:cs="宋体"/>
          <w:color w:val="auto"/>
          <w:sz w:val="21"/>
          <w:szCs w:val="21"/>
          <w:highlight w:val="none"/>
        </w:rPr>
      </w:pPr>
      <w:r>
        <w:rPr>
          <w:rStyle w:val="46"/>
          <w:rFonts w:hint="eastAsia" w:ascii="宋体" w:hAnsi="宋体" w:eastAsia="宋体" w:cs="宋体"/>
          <w:b/>
          <w:bCs/>
          <w:color w:val="auto"/>
          <w:sz w:val="21"/>
          <w:szCs w:val="21"/>
          <w:highlight w:val="none"/>
        </w:rPr>
        <w:t>3.付款方式：</w:t>
      </w:r>
      <w:r>
        <w:rPr>
          <w:rFonts w:hint="eastAsia" w:ascii="宋体" w:hAnsi="宋体" w:eastAsia="宋体" w:cs="Arial"/>
          <w:bCs/>
          <w:color w:val="000000"/>
          <w:sz w:val="21"/>
          <w:szCs w:val="21"/>
          <w:highlight w:val="none"/>
          <w:lang w:val="en-US" w:eastAsia="zh-CN"/>
        </w:rPr>
        <w:t>1）支付形式：采用银行转账方式，采购人（或相关付款责任方）将款项直接汇入成交供应商指定的合法有效银行账户（成交供应商需提前提供账户信息并确保真实性、有效性）。（2）付款计划：因本项目资金由财政局统一拨付（资金来源为2025年中央补助广西医疗服务与保障能力提升专项资金），专项资金下拨后一次性拨付全部款项。</w:t>
      </w:r>
    </w:p>
    <w:p>
      <w:pPr>
        <w:spacing w:after="0" w:line="420" w:lineRule="exact"/>
        <w:ind w:left="-61" w:firstLine="514"/>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第九条  税费</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本合同执行中相关的一切税费均由乙方负担。</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第十条  质量保证及售后服务</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1.乙方应按招标文件规定的货物性能、技术要求、质量标准向甲方提供未经使用的全新产品。不符合要求的，根据实际情况，经双方协商，可按以下办法处理：</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⑴更换：由乙方承担所发生的全部费用。</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⑵贬值处理：由甲乙双方合议定价。</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⑶退货处理：乙方应退还甲方支付的合同款，同时应承担该货物的直接费用（运输、保险、检验、货款利息及银行手续费等）。</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2.如在使用过程中发生质量问题，乙方在接到甲方通知后在</w:t>
      </w:r>
      <w:r>
        <w:rPr>
          <w:rStyle w:val="46"/>
          <w:rFonts w:hint="eastAsia" w:hAnsi="宋体" w:eastAsia="宋体" w:cs="宋体"/>
          <w:color w:val="auto"/>
          <w:szCs w:val="21"/>
          <w:highlight w:val="none"/>
          <w:u w:val="single" w:color="000000"/>
        </w:rPr>
        <w:t xml:space="preserve"> 乙方售后服务承诺</w:t>
      </w:r>
      <w:r>
        <w:rPr>
          <w:rStyle w:val="46"/>
          <w:rFonts w:hint="eastAsia" w:hAnsi="宋体" w:eastAsia="宋体" w:cs="宋体"/>
          <w:color w:val="auto"/>
          <w:szCs w:val="21"/>
          <w:highlight w:val="none"/>
          <w:u w:val="single" w:color="000000"/>
          <w:lang w:val="en-US"/>
        </w:rPr>
        <w:t>6</w:t>
      </w:r>
      <w:r>
        <w:rPr>
          <w:rStyle w:val="46"/>
          <w:rFonts w:hint="eastAsia" w:hAnsi="宋体" w:eastAsia="宋体" w:cs="宋体"/>
          <w:color w:val="auto"/>
          <w:szCs w:val="21"/>
          <w:highlight w:val="none"/>
        </w:rPr>
        <w:t>小时内到达甲方现场处理。</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3.在质保期内，乙方应对货物出现的质量及安全问题负责处理解决并承担一切费用。</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4.上述的货物质保期按</w:t>
      </w:r>
      <w:r>
        <w:rPr>
          <w:rStyle w:val="46"/>
          <w:rFonts w:hint="eastAsia" w:ascii="宋体" w:hAnsi="宋体" w:eastAsia="宋体" w:cs="宋体"/>
          <w:color w:val="auto"/>
          <w:szCs w:val="21"/>
          <w:highlight w:val="none"/>
          <w:u w:val="single" w:color="000000"/>
        </w:rPr>
        <w:t>《商务响应表》承诺</w:t>
      </w:r>
      <w:r>
        <w:rPr>
          <w:rStyle w:val="46"/>
          <w:rFonts w:hint="eastAsia" w:ascii="宋体" w:hAnsi="宋体" w:eastAsia="宋体" w:cs="宋体"/>
          <w:color w:val="auto"/>
          <w:szCs w:val="21"/>
          <w:highlight w:val="none"/>
        </w:rPr>
        <w:t>，因人为因素出现的故障不在免费保修范围内。超过保修期的机器设备，终生维修，维修时只收部件成本费。</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第十一条  调试和验收</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1.乙方所提供的货物与投标文件中承诺的技术参数不符的或未提供以上货物去采购人处进行验收的，甲方将报同级财政监督管理部门进行处理，由此导致整批货物被拒收或索赔而引发的所有损失由乙方承担。</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甲方有权要求乙方提供所投设备到采购单位进行参数性能检测，并提供生产厂家盖章的检测报告原件备查，不能提供的则有权不予验收。产品性能检测合格后封存，待项目验收时对安装设备与封存设备对比，如出现安装和封存的设备不符，甲方有权拒绝项目验收，并加以法律诉讼，追讨损失。</w:t>
      </w:r>
    </w:p>
    <w:p>
      <w:pPr>
        <w:pStyle w:val="48"/>
        <w:spacing w:after="0" w:line="420" w:lineRule="exact"/>
        <w:ind w:firstLine="413" w:firstLineChars="196"/>
        <w:rPr>
          <w:rStyle w:val="46"/>
          <w:rFonts w:hAnsi="宋体" w:eastAsia="宋体" w:cs="宋体"/>
          <w:b/>
          <w:color w:val="auto"/>
          <w:szCs w:val="21"/>
          <w:highlight w:val="none"/>
        </w:rPr>
      </w:pPr>
      <w:r>
        <w:rPr>
          <w:rStyle w:val="46"/>
          <w:rFonts w:hint="eastAsia" w:hAnsi="宋体" w:eastAsia="宋体" w:cs="宋体"/>
          <w:b/>
          <w:color w:val="auto"/>
          <w:szCs w:val="21"/>
          <w:highlight w:val="none"/>
        </w:rPr>
        <w:t>第十二条  货物包装、发运及运输</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1.乙方应在货物发运前对其进行满足运输距离、防潮、防震、防锈和防破损装卸等要求包装，以保证货物安全运达甲方指定地点。</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2.使用说明书、质量检验证明书、随配附件和工具以及清单一并附于货物内。</w:t>
      </w:r>
    </w:p>
    <w:p>
      <w:pPr>
        <w:pStyle w:val="48"/>
        <w:spacing w:after="0" w:line="420" w:lineRule="exact"/>
        <w:rPr>
          <w:rStyle w:val="46"/>
          <w:rFonts w:hAnsi="宋体" w:eastAsia="宋体" w:cs="宋体"/>
          <w:color w:val="auto"/>
          <w:szCs w:val="21"/>
          <w:highlight w:val="none"/>
        </w:rPr>
      </w:pPr>
      <w:r>
        <w:rPr>
          <w:rStyle w:val="46"/>
          <w:rFonts w:hint="eastAsia" w:hAnsi="宋体" w:eastAsia="宋体" w:cs="宋体"/>
          <w:color w:val="auto"/>
          <w:szCs w:val="21"/>
          <w:highlight w:val="none"/>
        </w:rPr>
        <w:t xml:space="preserve">    3.乙方在货物发运手续办理完毕后二十四小时内或货到甲方四十八小时前通知甲方，以准备接货。</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4.货物在交付甲方前发生的风险均由乙方负责。</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5.货</w:t>
      </w:r>
      <w:r>
        <w:rPr>
          <w:rStyle w:val="46"/>
          <w:rFonts w:hint="eastAsia" w:ascii="宋体" w:hAnsi="宋体" w:eastAsia="宋体" w:cs="宋体"/>
          <w:color w:val="auto"/>
          <w:spacing w:val="-8"/>
          <w:szCs w:val="21"/>
          <w:highlight w:val="none"/>
        </w:rPr>
        <w:t>物在规定的交付期限内由乙方送达甲方指定的地点视为交付，乙方同时需通知甲方货物已送达。</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第十三条　违约责任</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pacing w:after="0" w:line="420" w:lineRule="exact"/>
        <w:ind w:firstLine="472" w:firstLineChars="225"/>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2.乙方提供的货物如侵犯了第三方合法权益而引发的任何纠纷或诉讼，均由乙方负责交涉并承担全部责任。</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3.因包装、运输引起的货物损坏，按质量不合格处罚。</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4.乙方未按本合同和投标文件中规定的服务承诺提供售后服务的，乙方应按本合同合计金额</w:t>
      </w:r>
      <w:r>
        <w:rPr>
          <w:rStyle w:val="46"/>
          <w:rFonts w:hint="eastAsia" w:ascii="宋体" w:hAnsi="宋体" w:eastAsia="宋体" w:cs="宋体"/>
          <w:color w:val="auto"/>
          <w:szCs w:val="21"/>
          <w:highlight w:val="none"/>
          <w:u w:val="single" w:color="000000"/>
        </w:rPr>
        <w:t xml:space="preserve"> 5%</w:t>
      </w:r>
      <w:r>
        <w:rPr>
          <w:rStyle w:val="46"/>
          <w:rFonts w:hint="eastAsia" w:ascii="宋体" w:hAnsi="宋体" w:eastAsia="宋体" w:cs="宋体"/>
          <w:color w:val="auto"/>
          <w:szCs w:val="21"/>
          <w:highlight w:val="none"/>
        </w:rPr>
        <w:t>向甲方支付违约金。</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5.乙方提供的货物在质量保证期内，因设计、工艺或材料的缺陷和其它质量原因造成的问题，由乙方负责，费用从质量保证金中扣除，不足另补。</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6.其它违约行为按违约货款额5%收取违约金并赔偿经济损失。</w:t>
      </w:r>
    </w:p>
    <w:p>
      <w:pPr>
        <w:pStyle w:val="48"/>
        <w:spacing w:after="0" w:line="420" w:lineRule="exact"/>
        <w:ind w:firstLine="413" w:firstLineChars="196"/>
        <w:rPr>
          <w:rStyle w:val="46"/>
          <w:rFonts w:hAnsi="宋体" w:eastAsia="宋体" w:cs="宋体"/>
          <w:b/>
          <w:color w:val="auto"/>
          <w:szCs w:val="21"/>
          <w:highlight w:val="none"/>
        </w:rPr>
      </w:pPr>
      <w:r>
        <w:rPr>
          <w:rStyle w:val="46"/>
          <w:rFonts w:hint="eastAsia" w:hAnsi="宋体" w:eastAsia="宋体" w:cs="宋体"/>
          <w:b/>
          <w:color w:val="auto"/>
          <w:szCs w:val="21"/>
          <w:highlight w:val="none"/>
        </w:rPr>
        <w:t>第十四条  不可抗力事件处理</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1.在合同有效期内，任何一方因不可抗力事件导致不能履行合同，则合同履行期可延长，其延长期与不可抗力影响期相同。</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2.不可抗力事件发生后，应立即通知对方，并寄送有关权威机构出具的证明。</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3.不可抗力事件延续一百二十天以上，双方应通过友好协商，确定是否继续履行合同。</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第十五条  合同争议解决</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2.因履行本合同引起的或与本合同有关的争议，甲乙双方应首先通过友好协商解决，如果协商不能解决，向甲方所在地人民法院提起诉讼。</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3.诉讼期间，本合同继续履行。</w:t>
      </w:r>
    </w:p>
    <w:p>
      <w:pPr>
        <w:pStyle w:val="48"/>
        <w:spacing w:after="0" w:line="420" w:lineRule="exact"/>
        <w:ind w:firstLine="413" w:firstLineChars="196"/>
        <w:rPr>
          <w:rStyle w:val="46"/>
          <w:rFonts w:hAnsi="宋体" w:eastAsia="宋体" w:cs="宋体"/>
          <w:b/>
          <w:color w:val="auto"/>
          <w:szCs w:val="21"/>
          <w:highlight w:val="none"/>
        </w:rPr>
      </w:pPr>
      <w:r>
        <w:rPr>
          <w:rStyle w:val="46"/>
          <w:rFonts w:hint="eastAsia" w:hAnsi="宋体" w:eastAsia="宋体" w:cs="宋体"/>
          <w:b/>
          <w:color w:val="auto"/>
          <w:szCs w:val="21"/>
          <w:highlight w:val="none"/>
        </w:rPr>
        <w:t>第十六条  合同生效及其它</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1.合同经双方法定代表人（负责人）或被授权代表签字并加盖单位公章后生效。</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2.合同执行中涉及采购资金和采购内容修改或补充的，须经财政部门审批，并签书面补充协议报财政部门备案，方可作为主合同不可分割的一部分。</w:t>
      </w:r>
    </w:p>
    <w:p>
      <w:pPr>
        <w:pStyle w:val="48"/>
        <w:spacing w:after="0" w:line="420" w:lineRule="exact"/>
        <w:ind w:left="440" w:leftChars="200"/>
        <w:rPr>
          <w:rStyle w:val="46"/>
          <w:rFonts w:hAnsi="宋体" w:eastAsia="宋体" w:cs="宋体"/>
          <w:color w:val="auto"/>
          <w:szCs w:val="21"/>
          <w:highlight w:val="none"/>
        </w:rPr>
      </w:pPr>
      <w:r>
        <w:rPr>
          <w:rStyle w:val="46"/>
          <w:rFonts w:hint="eastAsia" w:hAnsi="宋体" w:eastAsia="宋体" w:cs="宋体"/>
          <w:color w:val="auto"/>
          <w:szCs w:val="21"/>
          <w:highlight w:val="none"/>
        </w:rPr>
        <w:t>3.本合同未尽事宜，遵照《合同法》有关条文执行。</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第十七条　合同的变更、终止与转让</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2.乙方不得擅自转让（无进口资格的投标人委托进口货物除外）其应履行的合同义务。</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第十八条　签订本合同依据</w:t>
      </w:r>
    </w:p>
    <w:p>
      <w:pPr>
        <w:pStyle w:val="48"/>
        <w:spacing w:after="0" w:line="420" w:lineRule="exact"/>
        <w:ind w:left="440" w:leftChars="200"/>
        <w:outlineLvl w:val="1"/>
        <w:rPr>
          <w:rStyle w:val="46"/>
          <w:rFonts w:hAnsi="宋体" w:eastAsia="宋体" w:cs="宋体"/>
          <w:color w:val="auto"/>
          <w:szCs w:val="21"/>
          <w:highlight w:val="none"/>
        </w:rPr>
      </w:pPr>
      <w:r>
        <w:rPr>
          <w:rStyle w:val="46"/>
          <w:rFonts w:hint="eastAsia" w:hAnsi="宋体" w:eastAsia="宋体" w:cs="宋体"/>
          <w:color w:val="auto"/>
          <w:szCs w:val="21"/>
          <w:highlight w:val="none"/>
        </w:rPr>
        <w:t>1.政府采购招标文件；</w:t>
      </w:r>
    </w:p>
    <w:p>
      <w:pPr>
        <w:pStyle w:val="48"/>
        <w:spacing w:after="0" w:line="420" w:lineRule="exact"/>
        <w:ind w:left="440" w:leftChars="200"/>
        <w:outlineLvl w:val="1"/>
        <w:rPr>
          <w:rStyle w:val="46"/>
          <w:rFonts w:hAnsi="宋体" w:eastAsia="宋体" w:cs="宋体"/>
          <w:color w:val="auto"/>
          <w:szCs w:val="21"/>
          <w:highlight w:val="none"/>
        </w:rPr>
      </w:pPr>
      <w:r>
        <w:rPr>
          <w:rStyle w:val="46"/>
          <w:rFonts w:hint="eastAsia" w:hAnsi="宋体" w:eastAsia="宋体" w:cs="宋体"/>
          <w:color w:val="auto"/>
          <w:szCs w:val="21"/>
          <w:highlight w:val="none"/>
        </w:rPr>
        <w:t>2.乙方提供的采购投标（或应答）文件；</w:t>
      </w:r>
    </w:p>
    <w:p>
      <w:pPr>
        <w:pStyle w:val="48"/>
        <w:spacing w:after="0" w:line="420" w:lineRule="exact"/>
        <w:ind w:left="440" w:leftChars="200"/>
        <w:outlineLvl w:val="1"/>
        <w:rPr>
          <w:rStyle w:val="46"/>
          <w:rFonts w:hAnsi="宋体" w:eastAsia="宋体" w:cs="宋体"/>
          <w:b/>
          <w:color w:val="auto"/>
          <w:szCs w:val="21"/>
          <w:highlight w:val="none"/>
        </w:rPr>
      </w:pPr>
      <w:r>
        <w:rPr>
          <w:rStyle w:val="46"/>
          <w:rFonts w:hint="eastAsia" w:hAnsi="宋体" w:eastAsia="宋体" w:cs="宋体"/>
          <w:color w:val="auto"/>
          <w:szCs w:val="21"/>
          <w:highlight w:val="none"/>
        </w:rPr>
        <w:t>3.中标或成交通知书。</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第十九条　</w:t>
      </w:r>
      <w:r>
        <w:rPr>
          <w:rStyle w:val="46"/>
          <w:rFonts w:hint="eastAsia" w:ascii="宋体" w:hAnsi="宋体" w:eastAsia="宋体" w:cs="宋体"/>
          <w:color w:val="auto"/>
          <w:szCs w:val="21"/>
          <w:highlight w:val="none"/>
        </w:rPr>
        <w:t>本合同一式</w:t>
      </w:r>
      <w:r>
        <w:rPr>
          <w:rStyle w:val="46"/>
          <w:rFonts w:hint="eastAsia" w:ascii="宋体" w:hAnsi="宋体" w:eastAsia="宋体" w:cs="宋体"/>
          <w:color w:val="auto"/>
          <w:szCs w:val="21"/>
          <w:highlight w:val="none"/>
          <w:lang w:val="en-US"/>
        </w:rPr>
        <w:t>四</w:t>
      </w:r>
      <w:r>
        <w:rPr>
          <w:rStyle w:val="46"/>
          <w:rFonts w:hint="eastAsia" w:ascii="宋体" w:hAnsi="宋体" w:eastAsia="宋体" w:cs="宋体"/>
          <w:color w:val="auto"/>
          <w:szCs w:val="21"/>
          <w:highlight w:val="none"/>
        </w:rPr>
        <w:t>份，具有同等法律效力，甲</w:t>
      </w:r>
      <w:r>
        <w:rPr>
          <w:rStyle w:val="46"/>
          <w:rFonts w:hint="eastAsia" w:ascii="宋体" w:hAnsi="宋体" w:eastAsia="宋体" w:cs="宋体"/>
          <w:color w:val="auto"/>
          <w:szCs w:val="21"/>
          <w:highlight w:val="none"/>
          <w:lang w:val="en-US"/>
        </w:rPr>
        <w:t>方执三份，</w:t>
      </w:r>
      <w:r>
        <w:rPr>
          <w:rStyle w:val="46"/>
          <w:rFonts w:hint="eastAsia" w:ascii="宋体" w:hAnsi="宋体" w:eastAsia="宋体" w:cs="宋体"/>
          <w:color w:val="auto"/>
          <w:szCs w:val="21"/>
          <w:highlight w:val="none"/>
        </w:rPr>
        <w:t>乙方</w:t>
      </w:r>
      <w:r>
        <w:rPr>
          <w:rStyle w:val="46"/>
          <w:rFonts w:hint="eastAsia" w:ascii="宋体" w:hAnsi="宋体" w:eastAsia="宋体" w:cs="宋体"/>
          <w:color w:val="auto"/>
          <w:szCs w:val="21"/>
          <w:highlight w:val="none"/>
          <w:lang w:val="en-US"/>
        </w:rPr>
        <w:t>执一</w:t>
      </w:r>
      <w:r>
        <w:rPr>
          <w:rStyle w:val="46"/>
          <w:rFonts w:hint="eastAsia" w:ascii="宋体" w:hAnsi="宋体" w:eastAsia="宋体" w:cs="宋体"/>
          <w:color w:val="auto"/>
          <w:szCs w:val="21"/>
          <w:highlight w:val="none"/>
        </w:rPr>
        <w:t>份。本合同甲乙双方签字盖章后生效。</w:t>
      </w:r>
    </w:p>
    <w:p>
      <w:pPr>
        <w:pStyle w:val="14"/>
        <w:spacing w:after="0"/>
        <w:textAlignment w:val="baseline"/>
        <w:rPr>
          <w:rStyle w:val="46"/>
          <w:rFonts w:ascii="宋体" w:hAnsi="宋体" w:eastAsia="宋体" w:cs="宋体"/>
          <w:color w:val="auto"/>
          <w:szCs w:val="21"/>
          <w:highlight w:val="none"/>
        </w:rPr>
      </w:pPr>
    </w:p>
    <w:p>
      <w:pPr>
        <w:pStyle w:val="14"/>
        <w:spacing w:after="0"/>
        <w:textAlignment w:val="baseline"/>
        <w:rPr>
          <w:rStyle w:val="46"/>
          <w:rFonts w:ascii="宋体" w:hAnsi="宋体" w:eastAsia="宋体" w:cs="宋体"/>
          <w:color w:val="auto"/>
          <w:szCs w:val="21"/>
          <w:highlight w:val="none"/>
        </w:rPr>
      </w:pPr>
    </w:p>
    <w:tbl>
      <w:tblPr>
        <w:tblStyle w:val="21"/>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4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 xml:space="preserve">甲方（章）           </w:t>
            </w:r>
          </w:p>
          <w:p>
            <w:pPr>
              <w:spacing w:after="0"/>
              <w:jc w:val="both"/>
              <w:textAlignment w:val="baseline"/>
              <w:rPr>
                <w:rStyle w:val="46"/>
                <w:rFonts w:ascii="宋体" w:hAnsi="宋体" w:eastAsia="宋体" w:cs="宋体"/>
                <w:color w:val="auto"/>
                <w:szCs w:val="21"/>
                <w:highlight w:val="none"/>
              </w:rPr>
            </w:pPr>
          </w:p>
          <w:p>
            <w:pPr>
              <w:spacing w:after="0"/>
              <w:ind w:firstLine="945" w:firstLineChars="450"/>
              <w:jc w:val="right"/>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年   月   日</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 xml:space="preserve">乙方（章）              </w:t>
            </w:r>
          </w:p>
          <w:p>
            <w:pPr>
              <w:spacing w:after="0"/>
              <w:jc w:val="both"/>
              <w:textAlignment w:val="baseline"/>
              <w:rPr>
                <w:rStyle w:val="46"/>
                <w:rFonts w:ascii="宋体" w:hAnsi="宋体" w:eastAsia="宋体" w:cs="宋体"/>
                <w:color w:val="auto"/>
                <w:szCs w:val="21"/>
                <w:highlight w:val="none"/>
              </w:rPr>
            </w:pPr>
          </w:p>
          <w:p>
            <w:pPr>
              <w:spacing w:after="0"/>
              <w:jc w:val="right"/>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单位地址：</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法定代表人（负责人）：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法定代表人（负责人）：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委托代理人：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电话：</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电子邮箱：</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开户银行：</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账号：</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纳税人识别号或统一社会信用代码：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纳税人识别号或统一社会信用代码：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6"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邮政编码：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邮政编码：</w:t>
            </w:r>
          </w:p>
        </w:tc>
      </w:tr>
    </w:tbl>
    <w:p>
      <w:pPr>
        <w:spacing w:line="360" w:lineRule="auto"/>
        <w:ind w:firstLine="480" w:firstLineChars="200"/>
        <w:rPr>
          <w:rFonts w:ascii="宋体" w:hAnsi="宋体" w:eastAsia="宋体" w:cs="宋体"/>
          <w:color w:val="auto"/>
          <w:sz w:val="24"/>
          <w:szCs w:val="24"/>
          <w:highlight w:val="none"/>
          <w:u w:val="single"/>
        </w:rPr>
      </w:pPr>
    </w:p>
    <w:p>
      <w:pPr>
        <w:tabs>
          <w:tab w:val="left" w:pos="7380"/>
        </w:tabs>
        <w:spacing w:line="360" w:lineRule="auto"/>
        <w:jc w:val="center"/>
        <w:rPr>
          <w:rFonts w:ascii="宋体" w:hAnsi="宋体" w:eastAsia="宋体" w:cs="宋体"/>
          <w:color w:val="auto"/>
          <w:sz w:val="24"/>
          <w:szCs w:val="24"/>
          <w:highlight w:val="none"/>
        </w:rPr>
        <w:sectPr>
          <w:footerReference r:id="rId9" w:type="default"/>
          <w:pgSz w:w="11906" w:h="16838"/>
          <w:pgMar w:top="1440" w:right="1080" w:bottom="1440" w:left="1080" w:header="720" w:footer="720" w:gutter="0"/>
          <w:pgNumType w:fmt="decimal"/>
          <w:cols w:space="720" w:num="1"/>
          <w:docGrid w:type="lines" w:linePitch="331" w:charSpace="0"/>
        </w:sectPr>
      </w:pPr>
    </w:p>
    <w:p>
      <w:pPr>
        <w:keepNext/>
        <w:spacing w:line="400" w:lineRule="exact"/>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响应文件格式</w:t>
      </w:r>
    </w:p>
    <w:p>
      <w:pPr>
        <w:rPr>
          <w:rFonts w:ascii="宋体" w:hAnsi="宋体" w:eastAsia="宋体" w:cs="宋体"/>
          <w:color w:val="auto"/>
          <w:sz w:val="24"/>
          <w:highlight w:val="none"/>
        </w:rPr>
      </w:pPr>
      <w:r>
        <w:rPr>
          <w:rFonts w:hint="eastAsia" w:ascii="宋体" w:hAnsi="宋体" w:eastAsia="宋体" w:cs="宋体"/>
          <w:color w:val="auto"/>
          <w:sz w:val="24"/>
          <w:highlight w:val="none"/>
        </w:rPr>
        <w:t>（用于响应文件封面）</w:t>
      </w:r>
    </w:p>
    <w:p>
      <w:pPr>
        <w:rPr>
          <w:rFonts w:ascii="宋体" w:hAnsi="宋体" w:eastAsia="宋体" w:cs="宋体"/>
          <w:color w:val="auto"/>
          <w:sz w:val="28"/>
          <w:highlight w:val="none"/>
        </w:rPr>
      </w:pPr>
    </w:p>
    <w:p>
      <w:pPr>
        <w:wordWrap w:val="0"/>
        <w:rPr>
          <w:b/>
          <w:color w:val="auto"/>
          <w:sz w:val="32"/>
          <w:szCs w:val="32"/>
          <w:highlight w:val="none"/>
        </w:rPr>
      </w:pPr>
      <w:r>
        <w:rPr>
          <w:rFonts w:hint="eastAsia"/>
          <w:b/>
          <w:color w:val="auto"/>
          <w:sz w:val="32"/>
          <w:szCs w:val="32"/>
          <w:highlight w:val="none"/>
        </w:rPr>
        <w:t>一、报价文件格式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1.报价文件封面格式：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jc w:val="center"/>
        <w:rPr>
          <w:rFonts w:ascii="宋体" w:hAnsi="宋体"/>
          <w:bCs/>
          <w:color w:val="auto"/>
          <w:sz w:val="24"/>
          <w:szCs w:val="20"/>
          <w:highlight w:val="none"/>
        </w:rPr>
      </w:pPr>
      <w:r>
        <w:rPr>
          <w:rFonts w:hint="eastAsia" w:ascii="宋体" w:hAnsi="宋体"/>
          <w:bCs/>
          <w:color w:val="auto"/>
          <w:sz w:val="24"/>
          <w:szCs w:val="20"/>
          <w:highlight w:val="none"/>
        </w:rPr>
        <w:t>正/副本</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7"/>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wordWrap w:val="0"/>
        <w:spacing w:before="50" w:after="50"/>
        <w:ind w:firstLine="0"/>
        <w:rPr>
          <w:rFonts w:ascii="宋体" w:hAnsi="宋体" w:cs="仿宋_GB2312"/>
          <w:bCs/>
          <w:color w:val="auto"/>
          <w:sz w:val="32"/>
          <w:szCs w:val="32"/>
          <w:highlight w:val="none"/>
        </w:rPr>
      </w:pPr>
    </w:p>
    <w:p>
      <w:pPr>
        <w:pStyle w:val="7"/>
        <w:wordWrap w:val="0"/>
        <w:spacing w:before="50" w:after="50"/>
        <w:ind w:firstLine="720" w:firstLineChars="225"/>
        <w:rPr>
          <w:rFonts w:ascii="宋体" w:hAnsi="宋体" w:cs="仿宋_GB2312"/>
          <w:bCs/>
          <w:color w:val="auto"/>
          <w:sz w:val="32"/>
          <w:szCs w:val="32"/>
          <w:highlight w:val="none"/>
        </w:rPr>
      </w:pPr>
    </w:p>
    <w:p>
      <w:pPr>
        <w:pStyle w:val="7"/>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both"/>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2.报价文件目录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both"/>
        <w:rPr>
          <w:rFonts w:ascii="宋体" w:hAnsi="宋体" w:eastAsia="宋体" w:cs="宋体"/>
          <w:b/>
          <w:bCs/>
          <w:color w:val="auto"/>
          <w:sz w:val="28"/>
          <w:szCs w:val="28"/>
          <w:highlight w:val="none"/>
        </w:rPr>
      </w:pPr>
    </w:p>
    <w:p>
      <w:pPr>
        <w:jc w:val="center"/>
        <w:rPr>
          <w:rFonts w:ascii="宋体" w:hAnsi="宋体" w:eastAsia="宋体" w:cs="宋体"/>
          <w:b/>
          <w:color w:val="auto"/>
          <w:sz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highlight w:val="none"/>
        </w:rPr>
        <w:t>竞标函</w:t>
      </w:r>
      <w:r>
        <w:rPr>
          <w:rFonts w:hint="eastAsia" w:ascii="宋体" w:hAnsi="宋体" w:eastAsia="宋体" w:cs="宋体"/>
          <w:b/>
          <w:color w:val="auto"/>
          <w:sz w:val="24"/>
          <w:highlight w:val="none"/>
        </w:rPr>
        <w:t>（格式）</w:t>
      </w:r>
    </w:p>
    <w:p>
      <w:pPr>
        <w:spacing w:line="440" w:lineRule="exact"/>
        <w:rPr>
          <w:rFonts w:ascii="宋体" w:hAnsi="宋体" w:eastAsia="宋体" w:cs="宋体"/>
          <w:b/>
          <w:color w:val="auto"/>
          <w:sz w:val="24"/>
          <w:highlight w:val="none"/>
          <w:u w:val="single"/>
        </w:rPr>
      </w:pPr>
      <w:r>
        <w:rPr>
          <w:rFonts w:hint="eastAsia" w:ascii="宋体" w:hAnsi="宋体" w:eastAsia="宋体" w:cs="宋体"/>
          <w:bCs/>
          <w:color w:val="auto"/>
          <w:sz w:val="24"/>
          <w:highlight w:val="none"/>
          <w:u w:val="single"/>
        </w:rPr>
        <w:t>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(采购人)：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项目的竞争性谈判公告（项目编号：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（全名） 经正式授权并代表供应商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（供应商名称）提交响应文件，正本 </w:t>
      </w:r>
      <w:r>
        <w:rPr>
          <w:rFonts w:hint="eastAsia" w:ascii="宋体" w:hAnsi="宋体" w:eastAsia="宋体" w:cs="宋体"/>
          <w:color w:val="auto"/>
          <w:sz w:val="24"/>
          <w:highlight w:val="none"/>
          <w:lang w:eastAsia="zh-CN"/>
        </w:rPr>
        <w:t>壹</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eastAsia="zh-CN"/>
        </w:rPr>
        <w:t>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 供应商已详细审查全部“谈判文件”，包括修改文件（如有的话）以及全部参考资料和有关附件，已经了解我方对于谈判文件、采购过程、采购结果有依法进行询问、质疑、投诉的权利及相关渠道和要求。</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 供应商在参与竞争性谈判之前已经与贵方进行了充分的沟通，完全理解并接受响应文件的各项规定和要求，对响应文件的合理性、合法性不再有异议。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 本竞标有效期自开标日起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 如成交，本响应文件至本项目合同履行完毕止均保持有效，本供应商将按“谈判文件”及政府采购法律、法规的规定履行合同责任和义务。</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 供应商同意本谈判文件中 “ 竞标 报价表 ” 和成交后签订的采购合同可用于公示，其中所有内容不涉及 竞 标人商业秘密。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 供应商同意按照贵方要求提供与投标有关的一切数据或资料。</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 与本竞标有关的一切正式往来信函请寄：</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（单位名称并加盖公章）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 </w:t>
      </w:r>
    </w:p>
    <w:p>
      <w:pPr>
        <w:tabs>
          <w:tab w:val="left" w:pos="3479"/>
        </w:tabs>
        <w:wordWrap w:val="0"/>
        <w:spacing w:line="520" w:lineRule="exact"/>
        <w:jc w:val="center"/>
        <w:rPr>
          <w:rFonts w:ascii="方正小标宋简体" w:hAnsi="方正小标宋简体"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val="0"/>
        <w:spacing w:after="20" w:line="640" w:lineRule="exact"/>
        <w:ind w:left="0" w:leftChars="0" w:firstLine="0" w:firstLineChars="0"/>
        <w:jc w:val="center"/>
        <w:textAlignment w:val="auto"/>
        <w:rPr>
          <w:rFonts w:hint="eastAsia" w:ascii="宋体" w:hAnsi="宋体"/>
          <w:color w:val="000000"/>
          <w:sz w:val="34"/>
          <w:szCs w:val="34"/>
          <w:highlight w:val="none"/>
        </w:rPr>
      </w:pPr>
      <w:r>
        <w:rPr>
          <w:rFonts w:hint="eastAsia" w:ascii="宋体" w:hAnsi="宋体" w:cs="宋体"/>
          <w:b/>
          <w:color w:val="000000"/>
          <w:sz w:val="36"/>
          <w:szCs w:val="36"/>
          <w:highlight w:val="none"/>
        </w:rPr>
        <w:t>响应报价表</w:t>
      </w:r>
    </w:p>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olor w:val="000000"/>
          <w:sz w:val="22"/>
          <w:szCs w:val="22"/>
          <w:highlight w:val="none"/>
        </w:rPr>
      </w:pPr>
      <w:r>
        <w:rPr>
          <w:rFonts w:hint="eastAsia" w:ascii="宋体" w:hAnsi="宋体"/>
          <w:color w:val="000000"/>
          <w:sz w:val="22"/>
          <w:szCs w:val="22"/>
          <w:highlight w:val="none"/>
        </w:rPr>
        <w:t>项目名称：</w:t>
      </w:r>
      <w:r>
        <w:rPr>
          <w:rFonts w:hint="eastAsia" w:ascii="宋体" w:hAnsi="宋体"/>
          <w:color w:val="000000"/>
          <w:sz w:val="22"/>
          <w:szCs w:val="22"/>
          <w:highlight w:val="none"/>
          <w:u w:val="single"/>
        </w:rPr>
        <w:t xml:space="preserve">       </w:t>
      </w:r>
      <w:r>
        <w:rPr>
          <w:rFonts w:hint="eastAsia" w:ascii="宋体" w:hAnsi="宋体"/>
          <w:color w:val="000000"/>
          <w:sz w:val="22"/>
          <w:szCs w:val="22"/>
          <w:highlight w:val="none"/>
          <w:u w:val="single"/>
          <w:lang w:val="en-US" w:eastAsia="zh-CN"/>
        </w:rPr>
        <w:t xml:space="preserve">             </w:t>
      </w:r>
      <w:r>
        <w:rPr>
          <w:rFonts w:hint="eastAsia" w:ascii="宋体" w:hAnsi="宋体"/>
          <w:color w:val="000000"/>
          <w:sz w:val="22"/>
          <w:szCs w:val="22"/>
          <w:highlight w:val="none"/>
          <w:u w:val="single"/>
        </w:rPr>
        <w:t xml:space="preserve">      </w:t>
      </w:r>
      <w:r>
        <w:rPr>
          <w:rFonts w:ascii="宋体" w:hAnsi="宋体"/>
          <w:color w:val="000000"/>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olor w:val="000000"/>
          <w:sz w:val="22"/>
          <w:szCs w:val="22"/>
          <w:highlight w:val="none"/>
          <w:u w:val="single"/>
        </w:rPr>
      </w:pPr>
      <w:r>
        <w:rPr>
          <w:rFonts w:hint="eastAsia" w:ascii="宋体" w:hAnsi="宋体"/>
          <w:color w:val="000000"/>
          <w:sz w:val="22"/>
          <w:szCs w:val="22"/>
          <w:highlight w:val="none"/>
        </w:rPr>
        <w:t>项目编号：</w:t>
      </w:r>
      <w:r>
        <w:rPr>
          <w:rFonts w:hint="eastAsia" w:ascii="宋体" w:hAnsi="宋体"/>
          <w:color w:val="000000"/>
          <w:sz w:val="22"/>
          <w:szCs w:val="22"/>
          <w:highlight w:val="none"/>
          <w:u w:val="single"/>
        </w:rPr>
        <w:t xml:space="preserve">          </w:t>
      </w:r>
      <w:r>
        <w:rPr>
          <w:rFonts w:hint="eastAsia" w:ascii="宋体" w:hAnsi="宋体"/>
          <w:color w:val="000000"/>
          <w:sz w:val="22"/>
          <w:szCs w:val="22"/>
          <w:highlight w:val="none"/>
          <w:u w:val="single"/>
          <w:lang w:val="en-US" w:eastAsia="zh-CN"/>
        </w:rPr>
        <w:t xml:space="preserve">             </w:t>
      </w:r>
      <w:r>
        <w:rPr>
          <w:rFonts w:hint="eastAsia" w:ascii="宋体" w:hAnsi="宋体"/>
          <w:color w:val="000000"/>
          <w:sz w:val="22"/>
          <w:szCs w:val="22"/>
          <w:highlight w:val="none"/>
          <w:u w:val="single"/>
        </w:rPr>
        <w:t xml:space="preserve">   </w:t>
      </w:r>
    </w:p>
    <w:tbl>
      <w:tblPr>
        <w:tblStyle w:val="21"/>
        <w:tblpPr w:leftFromText="180" w:rightFromText="180" w:vertAnchor="text" w:horzAnchor="page" w:tblpXSpec="center" w:tblpY="160"/>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334"/>
        <w:gridCol w:w="1853"/>
        <w:gridCol w:w="969"/>
        <w:gridCol w:w="969"/>
        <w:gridCol w:w="1131"/>
        <w:gridCol w:w="136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ascii="宋体" w:hAnsi="宋体"/>
                <w:color w:val="000000"/>
                <w:sz w:val="22"/>
                <w:szCs w:val="22"/>
                <w:highlight w:val="none"/>
              </w:rPr>
            </w:pPr>
            <w:r>
              <w:rPr>
                <w:rFonts w:hint="eastAsia" w:ascii="宋体" w:hAnsi="宋体"/>
                <w:color w:val="000000"/>
                <w:sz w:val="22"/>
                <w:szCs w:val="22"/>
                <w:highlight w:val="none"/>
              </w:rPr>
              <w:t>序号</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ascii="宋体" w:hAnsi="宋体"/>
                <w:color w:val="000000"/>
                <w:sz w:val="22"/>
                <w:szCs w:val="22"/>
                <w:highlight w:val="none"/>
              </w:rPr>
            </w:pPr>
            <w:r>
              <w:rPr>
                <w:rFonts w:hint="eastAsia" w:ascii="宋体" w:hAnsi="宋体"/>
                <w:color w:val="000000"/>
                <w:sz w:val="22"/>
                <w:szCs w:val="22"/>
                <w:highlight w:val="none"/>
              </w:rPr>
              <w:t>货物名称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ascii="宋体" w:hAnsi="宋体"/>
                <w:color w:val="000000"/>
                <w:sz w:val="22"/>
                <w:szCs w:val="22"/>
                <w:highlight w:val="none"/>
              </w:rPr>
            </w:pPr>
            <w:r>
              <w:rPr>
                <w:rFonts w:hint="eastAsia" w:ascii="宋体" w:hAnsi="宋体"/>
                <w:color w:val="000000"/>
                <w:sz w:val="22"/>
                <w:szCs w:val="22"/>
                <w:highlight w:val="none"/>
              </w:rPr>
              <w:t>品牌、规格型号</w:t>
            </w:r>
          </w:p>
        </w:tc>
        <w:tc>
          <w:tcPr>
            <w:tcW w:w="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hint="eastAsia" w:ascii="宋体" w:hAnsi="宋体"/>
                <w:color w:val="000000"/>
                <w:sz w:val="22"/>
                <w:szCs w:val="22"/>
                <w:highlight w:val="none"/>
              </w:rPr>
            </w:pPr>
            <w:r>
              <w:rPr>
                <w:rFonts w:hint="eastAsia" w:ascii="宋体" w:hAnsi="宋体"/>
                <w:color w:val="000000"/>
                <w:sz w:val="22"/>
                <w:szCs w:val="22"/>
                <w:highlight w:val="none"/>
              </w:rPr>
              <w:t>生产</w:t>
            </w:r>
          </w:p>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hint="eastAsia" w:ascii="宋体" w:hAnsi="宋体"/>
                <w:color w:val="000000"/>
                <w:sz w:val="22"/>
                <w:szCs w:val="22"/>
                <w:highlight w:val="none"/>
              </w:rPr>
            </w:pPr>
            <w:r>
              <w:rPr>
                <w:rFonts w:hint="eastAsia" w:ascii="宋体" w:hAnsi="宋体"/>
                <w:color w:val="000000"/>
                <w:sz w:val="22"/>
                <w:szCs w:val="22"/>
                <w:highlight w:val="none"/>
              </w:rPr>
              <w:t>厂家</w:t>
            </w:r>
          </w:p>
        </w:tc>
        <w:tc>
          <w:tcPr>
            <w:tcW w:w="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ascii="宋体" w:hAnsi="宋体"/>
                <w:color w:val="000000"/>
                <w:sz w:val="22"/>
                <w:szCs w:val="22"/>
                <w:highlight w:val="none"/>
              </w:rPr>
            </w:pPr>
            <w:r>
              <w:rPr>
                <w:rFonts w:hint="eastAsia" w:ascii="宋体" w:hAnsi="宋体"/>
                <w:color w:val="000000"/>
                <w:sz w:val="22"/>
                <w:szCs w:val="22"/>
                <w:highlight w:val="none"/>
              </w:rPr>
              <w:t>数量</w:t>
            </w:r>
            <w:r>
              <w:rPr>
                <w:rFonts w:ascii="宋体" w:hAnsi="宋体"/>
                <w:color w:val="000000"/>
                <w:sz w:val="22"/>
                <w:szCs w:val="22"/>
                <w:highlight w:val="none"/>
              </w:rPr>
              <w:t>①</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ascii="宋体" w:hAnsi="宋体"/>
                <w:color w:val="000000"/>
                <w:sz w:val="22"/>
                <w:szCs w:val="22"/>
                <w:highlight w:val="none"/>
              </w:rPr>
            </w:pPr>
            <w:r>
              <w:rPr>
                <w:rFonts w:hint="eastAsia" w:ascii="宋体" w:hAnsi="宋体"/>
                <w:color w:val="000000"/>
                <w:sz w:val="22"/>
                <w:szCs w:val="22"/>
                <w:highlight w:val="none"/>
              </w:rPr>
              <w:t>单价</w:t>
            </w:r>
            <w:r>
              <w:rPr>
                <w:rFonts w:ascii="宋体" w:hAnsi="宋体"/>
                <w:color w:val="000000"/>
                <w:sz w:val="22"/>
                <w:szCs w:val="22"/>
                <w:highlight w:val="none"/>
              </w:rPr>
              <w:t>(</w:t>
            </w:r>
            <w:r>
              <w:rPr>
                <w:rFonts w:hint="eastAsia" w:ascii="宋体" w:hAnsi="宋体"/>
                <w:color w:val="000000"/>
                <w:sz w:val="22"/>
                <w:szCs w:val="22"/>
                <w:highlight w:val="none"/>
              </w:rPr>
              <w:t>元</w:t>
            </w:r>
            <w:r>
              <w:rPr>
                <w:rFonts w:ascii="宋体" w:hAnsi="宋体"/>
                <w:color w:val="000000"/>
                <w:sz w:val="22"/>
                <w:szCs w:val="22"/>
                <w:highlight w:val="none"/>
              </w:rPr>
              <w:t>)②</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ascii="宋体" w:hAnsi="宋体"/>
                <w:color w:val="000000"/>
                <w:sz w:val="22"/>
                <w:szCs w:val="22"/>
                <w:highlight w:val="none"/>
              </w:rPr>
            </w:pPr>
            <w:r>
              <w:rPr>
                <w:rFonts w:hint="eastAsia" w:ascii="宋体" w:hAnsi="宋体"/>
                <w:color w:val="000000"/>
                <w:sz w:val="22"/>
                <w:szCs w:val="22"/>
                <w:highlight w:val="none"/>
                <w:lang w:eastAsia="zh-CN"/>
              </w:rPr>
              <w:t>单</w:t>
            </w:r>
            <w:r>
              <w:rPr>
                <w:rFonts w:hint="eastAsia" w:ascii="宋体" w:hAnsi="宋体"/>
                <w:color w:val="000000"/>
                <w:sz w:val="22"/>
                <w:szCs w:val="22"/>
                <w:highlight w:val="none"/>
              </w:rPr>
              <w:t>项合价（元）</w:t>
            </w:r>
          </w:p>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textAlignment w:val="auto"/>
              <w:rPr>
                <w:rFonts w:ascii="宋体" w:hAnsi="宋体"/>
                <w:color w:val="000000"/>
                <w:sz w:val="22"/>
                <w:szCs w:val="22"/>
                <w:highlight w:val="none"/>
              </w:rPr>
            </w:pPr>
            <w:r>
              <w:rPr>
                <w:rFonts w:ascii="宋体" w:hAnsi="宋体"/>
                <w:color w:val="000000"/>
                <w:sz w:val="22"/>
                <w:szCs w:val="22"/>
                <w:highlight w:val="none"/>
              </w:rPr>
              <w:t>③</w:t>
            </w:r>
            <w:r>
              <w:rPr>
                <w:rFonts w:hint="eastAsia" w:ascii="宋体" w:hAnsi="宋体"/>
                <w:color w:val="000000"/>
                <w:sz w:val="22"/>
                <w:szCs w:val="22"/>
                <w:highlight w:val="none"/>
                <w:lang w:eastAsia="zh-CN"/>
              </w:rPr>
              <w:t>=</w:t>
            </w:r>
            <w:r>
              <w:rPr>
                <w:rFonts w:ascii="宋体" w:hAnsi="宋体"/>
                <w:color w:val="000000"/>
                <w:sz w:val="22"/>
                <w:szCs w:val="22"/>
                <w:highlight w:val="none"/>
              </w:rPr>
              <w:t>①×②</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66" w:leftChars="-30" w:right="-66" w:rightChars="-30"/>
              <w:jc w:val="center"/>
              <w:textAlignment w:val="auto"/>
              <w:rPr>
                <w:rFonts w:ascii="宋体" w:hAnsi="宋体"/>
                <w:color w:val="000000"/>
                <w:sz w:val="22"/>
                <w:szCs w:val="22"/>
                <w:highlight w:val="none"/>
              </w:rPr>
            </w:pPr>
            <w:r>
              <w:rPr>
                <w:rFonts w:hint="eastAsia" w:ascii="宋体" w:hAnsi="宋体"/>
                <w:color w:val="00000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66" w:leftChars="-30" w:right="-66" w:rightChars="-30"/>
              <w:jc w:val="center"/>
              <w:textAlignment w:val="auto"/>
              <w:rPr>
                <w:rFonts w:ascii="宋体" w:hAnsi="宋体"/>
                <w:color w:val="000000"/>
                <w:sz w:val="22"/>
                <w:szCs w:val="22"/>
                <w:highlight w:val="none"/>
              </w:rPr>
            </w:pPr>
            <w:r>
              <w:rPr>
                <w:rFonts w:ascii="宋体" w:hAnsi="宋体"/>
                <w:color w:val="000000"/>
                <w:sz w:val="22"/>
                <w:szCs w:val="22"/>
                <w:highlight w:val="none"/>
              </w:rPr>
              <w:t>1</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66" w:leftChars="-30" w:right="-66" w:rightChars="-30"/>
              <w:jc w:val="center"/>
              <w:textAlignment w:val="auto"/>
              <w:rPr>
                <w:rFonts w:ascii="宋体" w:hAnsi="宋体"/>
                <w:color w:val="000000"/>
                <w:sz w:val="22"/>
                <w:szCs w:val="22"/>
                <w:highlight w:val="none"/>
              </w:rPr>
            </w:pPr>
            <w:r>
              <w:rPr>
                <w:rFonts w:ascii="宋体" w:hAnsi="宋体"/>
                <w:color w:val="000000"/>
                <w:sz w:val="22"/>
                <w:szCs w:val="22"/>
                <w:highlight w:val="none"/>
              </w:rPr>
              <w:t>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66" w:leftChars="-30" w:right="-66" w:rightChars="-30"/>
              <w:jc w:val="center"/>
              <w:textAlignment w:val="auto"/>
              <w:rPr>
                <w:rFonts w:ascii="宋体" w:hAnsi="宋体"/>
                <w:color w:val="000000"/>
                <w:sz w:val="22"/>
                <w:szCs w:val="22"/>
                <w:highlight w:val="none"/>
              </w:rPr>
            </w:pPr>
            <w:r>
              <w:rPr>
                <w:rFonts w:ascii="宋体" w:hAnsi="宋体"/>
                <w:color w:val="000000"/>
                <w:sz w:val="22"/>
                <w:szCs w:val="22"/>
                <w:highlight w:val="none"/>
              </w:rPr>
              <w:t>...</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szCs w:val="22"/>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56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2"/>
                <w:szCs w:val="22"/>
                <w:highlight w:val="none"/>
                <w:u w:val="none"/>
                <w:lang w:eastAsia="zh-CN"/>
              </w:rPr>
            </w:pPr>
            <w:r>
              <w:rPr>
                <w:rFonts w:hint="eastAsia" w:ascii="宋体" w:hAnsi="宋体" w:cs="宋体"/>
                <w:color w:val="000000"/>
                <w:sz w:val="22"/>
                <w:szCs w:val="22"/>
                <w:highlight w:val="none"/>
              </w:rPr>
              <w:t>报价合计（包含税费等所有费用）：（大写）人民币</w:t>
            </w:r>
            <w:r>
              <w:rPr>
                <w:rFonts w:hint="eastAsia" w:ascii="宋体" w:hAnsi="宋体" w:cs="宋体"/>
                <w:color w:val="000000"/>
                <w:sz w:val="22"/>
                <w:szCs w:val="22"/>
                <w:highlight w:val="none"/>
                <w:u w:val="single"/>
              </w:rPr>
              <w:t xml:space="preserve">                      （¥   </w:t>
            </w:r>
            <w:r>
              <w:rPr>
                <w:rFonts w:hint="eastAsia" w:ascii="宋体" w:hAnsi="宋体" w:cs="宋体"/>
                <w:color w:val="000000"/>
                <w:sz w:val="22"/>
                <w:szCs w:val="22"/>
                <w:highlight w:val="none"/>
                <w:u w:val="single"/>
                <w:lang w:val="en-US" w:eastAsia="zh-CN"/>
              </w:rPr>
              <w:t xml:space="preserve">   </w:t>
            </w:r>
            <w:r>
              <w:rPr>
                <w:rFonts w:hint="eastAsia" w:ascii="宋体" w:hAnsi="宋体" w:cs="宋体"/>
                <w:color w:val="000000"/>
                <w:sz w:val="22"/>
                <w:szCs w:val="22"/>
                <w:highlight w:val="none"/>
                <w:u w:val="single"/>
              </w:rPr>
              <w:t xml:space="preserve">  元）</w:t>
            </w:r>
            <w:r>
              <w:rPr>
                <w:rFonts w:hint="eastAsia" w:ascii="宋体" w:hAnsi="宋体" w:cs="宋体"/>
                <w:color w:val="000000"/>
                <w:sz w:val="22"/>
                <w:szCs w:val="22"/>
                <w:highlight w:val="none"/>
                <w:u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color w:val="000000"/>
                <w:sz w:val="22"/>
                <w:szCs w:val="22"/>
                <w:highlight w:val="none"/>
              </w:rPr>
            </w:pPr>
            <w:r>
              <w:rPr>
                <w:rFonts w:hint="eastAsia" w:ascii="宋体" w:hAnsi="宋体"/>
                <w:color w:val="000000"/>
                <w:sz w:val="22"/>
                <w:szCs w:val="22"/>
                <w:highlight w:val="none"/>
              </w:rPr>
              <w:t>交货期：</w:t>
            </w:r>
          </w:p>
        </w:tc>
      </w:tr>
    </w:tbl>
    <w:p>
      <w:pPr>
        <w:rPr>
          <w:rFonts w:hint="default"/>
          <w:lang w:val="en-US" w:eastAsia="zh-CN"/>
        </w:rPr>
      </w:pPr>
    </w:p>
    <w:p>
      <w:pPr>
        <w:wordWrap w:val="0"/>
        <w:spacing w:line="360" w:lineRule="auto"/>
        <w:contextualSpacing/>
        <w:rPr>
          <w:rFonts w:ascii="宋体" w:hAnsi="宋体" w:eastAsia="宋体" w:cs="宋体"/>
          <w:color w:val="auto"/>
          <w:sz w:val="24"/>
          <w:highlight w:val="none"/>
        </w:rPr>
      </w:pPr>
      <w:r>
        <w:rPr>
          <w:rFonts w:hint="eastAsia" w:ascii="宋体" w:hAnsi="宋体" w:cs="仿宋_GB2312"/>
          <w:color w:val="auto"/>
          <w:sz w:val="24"/>
          <w:highlight w:val="none"/>
        </w:rPr>
        <w:t xml:space="preserve">注: </w:t>
      </w:r>
      <w:r>
        <w:rPr>
          <w:rFonts w:hint="eastAsia" w:ascii="宋体" w:hAnsi="宋体" w:eastAsia="宋体" w:cs="宋体"/>
          <w:color w:val="auto"/>
          <w:sz w:val="24"/>
          <w:highlight w:val="none"/>
        </w:rPr>
        <w:t>1. 以上竞标报价表中“货物名称、数量及单位、品牌、规格型号、制造商、产品合格证”必须如实填写完整，品牌、规格型号没有则填无，填写有缺漏</w:t>
      </w:r>
      <w:r>
        <w:rPr>
          <w:rFonts w:hint="eastAsia" w:ascii="宋体" w:hAnsi="宋体" w:eastAsia="宋体" w:cs="宋体"/>
          <w:bCs/>
          <w:color w:val="auto"/>
          <w:sz w:val="24"/>
          <w:highlight w:val="none"/>
        </w:rPr>
        <w:t>的，</w:t>
      </w:r>
      <w:r>
        <w:rPr>
          <w:rFonts w:hint="eastAsia" w:ascii="宋体" w:hAnsi="宋体" w:eastAsia="宋体" w:cs="宋体"/>
          <w:b/>
          <w:color w:val="auto"/>
          <w:sz w:val="24"/>
          <w:highlight w:val="none"/>
        </w:rPr>
        <w:t>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2.供应商的报价表必须加盖供应商公章并由法定代表人或者委托代理人签字或者签章，</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报价一经涂改，应在涂改处加盖供应商公章或者加盖公章或者由法定代表人或者授权委托人签字（或者签章）</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4.谈判文件中列明采购专用耗材的，应按谈判文件规定的耗材量或者按耗材的常规试用量提供报价。</w:t>
      </w:r>
    </w:p>
    <w:p>
      <w:pPr>
        <w:wordWrap w:val="0"/>
        <w:spacing w:line="360" w:lineRule="auto"/>
        <w:ind w:firstLine="480" w:firstLineChars="200"/>
        <w:contextualSpacing/>
        <w:rPr>
          <w:rFonts w:ascii="宋体" w:hAnsi="宋体" w:eastAsia="宋体" w:cs="宋体"/>
          <w:i/>
          <w:color w:val="auto"/>
          <w:sz w:val="24"/>
          <w:highlight w:val="none"/>
        </w:rPr>
      </w:pPr>
      <w:r>
        <w:rPr>
          <w:rFonts w:hint="eastAsia" w:ascii="宋体" w:hAnsi="宋体" w:eastAsia="宋体" w:cs="宋体"/>
          <w:color w:val="auto"/>
          <w:sz w:val="24"/>
          <w:highlight w:val="none"/>
        </w:rPr>
        <w:t>5.如为联合体竞标，“供应商名称”处必须列明联合体各方名称，标注联合体牵头人名称，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6.如为联合体竞标，</w:t>
      </w:r>
      <w:r>
        <w:rPr>
          <w:rFonts w:hint="eastAsia" w:ascii="宋体" w:hAnsi="宋体" w:eastAsia="宋体" w:cs="宋体"/>
          <w:color w:val="auto"/>
          <w:spacing w:val="-6"/>
          <w:sz w:val="24"/>
          <w:highlight w:val="none"/>
        </w:rPr>
        <w:t xml:space="preserve"> 盖章处须加盖联合体牵头人公章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否则其响应文件按无效处理。</w:t>
      </w:r>
    </w:p>
    <w:p>
      <w:pPr>
        <w:wordWrap w:val="0"/>
        <w:spacing w:line="360" w:lineRule="auto"/>
        <w:ind w:right="-856" w:rightChars="-389" w:firstLine="2640" w:firstLineChars="1100"/>
        <w:contextualSpacing/>
        <w:rPr>
          <w:rFonts w:ascii="宋体" w:hAnsi="宋体" w:eastAsia="宋体" w:cs="宋体"/>
          <w:color w:val="auto"/>
          <w:sz w:val="24"/>
          <w:highlight w:val="none"/>
        </w:rPr>
      </w:pP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法定代表人或者委托代理人（签字或者签章）：                    </w:t>
      </w: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供应商（公章）：      </w:t>
      </w:r>
    </w:p>
    <w:p>
      <w:pPr>
        <w:wordWrap w:val="0"/>
        <w:spacing w:line="360" w:lineRule="auto"/>
        <w:ind w:right="-856" w:rightChars="-3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wordWrap w:val="0"/>
        <w:rPr>
          <w:rFonts w:hint="eastAsia"/>
          <w:b/>
          <w:color w:val="auto"/>
          <w:sz w:val="32"/>
          <w:szCs w:val="32"/>
          <w:highlight w:val="none"/>
        </w:rPr>
      </w:pPr>
    </w:p>
    <w:p>
      <w:pPr>
        <w:wordWrap w:val="0"/>
        <w:rPr>
          <w:b/>
          <w:color w:val="auto"/>
          <w:sz w:val="32"/>
          <w:szCs w:val="32"/>
          <w:highlight w:val="none"/>
        </w:rPr>
      </w:pPr>
      <w:r>
        <w:rPr>
          <w:rFonts w:hint="eastAsia"/>
          <w:b/>
          <w:color w:val="auto"/>
          <w:sz w:val="32"/>
          <w:szCs w:val="32"/>
          <w:highlight w:val="none"/>
        </w:rPr>
        <w:t>二、资格证明文件格式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1.资格证明文件封面格式：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7"/>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wordWrap w:val="0"/>
        <w:spacing w:before="120" w:beforeLines="50" w:after="50"/>
        <w:ind w:firstLine="640" w:firstLineChars="200"/>
        <w:rPr>
          <w:rFonts w:ascii="宋体" w:hAnsi="宋体" w:cs="仿宋_GB2312"/>
          <w:bCs/>
          <w:color w:val="auto"/>
          <w:sz w:val="32"/>
          <w:szCs w:val="32"/>
          <w:highlight w:val="none"/>
        </w:rPr>
      </w:pPr>
    </w:p>
    <w:p>
      <w:pPr>
        <w:pStyle w:val="7"/>
        <w:wordWrap w:val="0"/>
        <w:spacing w:before="50" w:after="50"/>
        <w:ind w:firstLine="720" w:firstLineChars="225"/>
        <w:rPr>
          <w:rFonts w:ascii="宋体" w:hAnsi="宋体" w:cs="仿宋_GB2312"/>
          <w:bCs/>
          <w:color w:val="auto"/>
          <w:sz w:val="32"/>
          <w:szCs w:val="32"/>
          <w:highlight w:val="none"/>
        </w:rPr>
      </w:pPr>
    </w:p>
    <w:p>
      <w:pPr>
        <w:pStyle w:val="7"/>
        <w:wordWrap w:val="0"/>
        <w:spacing w:before="50" w:after="50"/>
        <w:ind w:firstLine="720" w:firstLineChars="225"/>
        <w:rPr>
          <w:rFonts w:ascii="宋体" w:hAnsi="宋体" w:cs="仿宋_GB2312"/>
          <w:bCs/>
          <w:color w:val="auto"/>
          <w:sz w:val="32"/>
          <w:szCs w:val="32"/>
          <w:highlight w:val="none"/>
        </w:rPr>
      </w:pPr>
    </w:p>
    <w:p>
      <w:pPr>
        <w:pStyle w:val="7"/>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hd w:val="clear" w:color="auto" w:fill="FFFFFF"/>
        <w:spacing w:line="440" w:lineRule="exact"/>
        <w:jc w:val="center"/>
        <w:rPr>
          <w:rFonts w:ascii="宋体" w:hAnsi="宋体" w:eastAsia="宋体" w:cs="宋体"/>
          <w:b/>
          <w:bCs/>
          <w:color w:val="auto"/>
          <w:sz w:val="24"/>
          <w:highlight w:val="none"/>
        </w:rPr>
      </w:pPr>
      <w:r>
        <w:rPr>
          <w:rFonts w:ascii="宋体" w:hAnsi="宋体"/>
          <w:color w:val="auto"/>
          <w:sz w:val="24"/>
          <w:highlight w:val="none"/>
        </w:rPr>
        <w:br w:type="page"/>
      </w: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2.资格证明文件目录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both"/>
        <w:rPr>
          <w:rFonts w:ascii="宋体" w:hAnsi="宋体" w:eastAsia="宋体" w:cs="宋体"/>
          <w:b/>
          <w:bCs/>
          <w:color w:val="auto"/>
          <w:sz w:val="24"/>
          <w:highlight w:val="none"/>
        </w:rPr>
      </w:pPr>
    </w:p>
    <w:p>
      <w:pPr>
        <w:shd w:val="clear" w:color="auto" w:fill="FFFFFF"/>
        <w:spacing w:line="440" w:lineRule="exact"/>
        <w:jc w:val="center"/>
        <w:rPr>
          <w:rFonts w:hint="eastAsia"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技术规格响应表</w:t>
      </w:r>
      <w:r>
        <w:rPr>
          <w:rFonts w:hint="eastAsia" w:ascii="宋体" w:hAnsi="宋体" w:eastAsia="宋体" w:cs="宋体"/>
          <w:b/>
          <w:color w:val="auto"/>
          <w:sz w:val="24"/>
          <w:highlight w:val="none"/>
        </w:rPr>
        <w:t>（格式）</w:t>
      </w:r>
    </w:p>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请逐条对应采购文件的第三章“货物需求一览表”中要求的技术要求，认真填写该表。</w:t>
      </w:r>
    </w:p>
    <w:tbl>
      <w:tblPr>
        <w:tblStyle w:val="21"/>
        <w:tblW w:w="9324" w:type="dxa"/>
        <w:tblInd w:w="402" w:type="dxa"/>
        <w:tblLayout w:type="fixed"/>
        <w:tblCellMar>
          <w:top w:w="0" w:type="dxa"/>
          <w:left w:w="0" w:type="dxa"/>
          <w:bottom w:w="0" w:type="dxa"/>
          <w:right w:w="0" w:type="dxa"/>
        </w:tblCellMar>
      </w:tblPr>
      <w:tblGrid>
        <w:gridCol w:w="1135"/>
        <w:gridCol w:w="1372"/>
        <w:gridCol w:w="2997"/>
        <w:gridCol w:w="2560"/>
        <w:gridCol w:w="1260"/>
      </w:tblGrid>
      <w:tr>
        <w:tblPrEx>
          <w:tblCellMar>
            <w:top w:w="0" w:type="dxa"/>
            <w:left w:w="0" w:type="dxa"/>
            <w:bottom w:w="0" w:type="dxa"/>
            <w:right w:w="0" w:type="dxa"/>
          </w:tblCellMar>
        </w:tblPrEx>
        <w:trPr>
          <w:trHeight w:val="555"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采购技术要求</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竞标技术规格</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CellMar>
            <w:top w:w="0" w:type="dxa"/>
            <w:left w:w="0" w:type="dxa"/>
            <w:bottom w:w="0" w:type="dxa"/>
            <w:right w:w="0" w:type="dxa"/>
          </w:tblCellMar>
        </w:tblPrEx>
        <w:trPr>
          <w:trHeight w:val="4593"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r>
    </w:tbl>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注：</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1、竞标技术规格由供应商按照响应文件货物需求一览表对应的技术参数及性能进行填写。</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2、此表竞标技术规格与竞标报价表和产品检验报告证书的技术指标不符的，以产品检验报告证书的技术指标为准。</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3、竞标技术规格与采购技术要求相同的为无偏离，竞标技术规格高于采购技术要求的为正偏离，低于采购技术要求的为负偏离。</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供应商（公章）：</w:t>
      </w:r>
      <w:r>
        <w:rPr>
          <w:rFonts w:hint="eastAsia" w:ascii="宋体" w:hAnsi="宋体" w:eastAsia="宋体" w:cs="宋体"/>
          <w:color w:val="auto"/>
          <w:szCs w:val="21"/>
          <w:highlight w:val="none"/>
          <w:u w:val="single"/>
        </w:rPr>
        <w:t>               </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法定代表人或委托代理人签字：</w:t>
      </w:r>
      <w:r>
        <w:rPr>
          <w:rFonts w:hint="eastAsia" w:ascii="宋体" w:hAnsi="宋体" w:eastAsia="宋体" w:cs="宋体"/>
          <w:color w:val="auto"/>
          <w:szCs w:val="21"/>
          <w:highlight w:val="none"/>
          <w:u w:val="single"/>
        </w:rPr>
        <w:t>    </w:t>
      </w:r>
    </w:p>
    <w:p>
      <w:pPr>
        <w:shd w:val="clear" w:color="auto" w:fill="FFFFFF"/>
        <w:spacing w:line="440" w:lineRule="exact"/>
        <w:ind w:firstLine="5040"/>
        <w:rPr>
          <w:rFonts w:ascii="宋体" w:hAnsi="宋体" w:eastAsia="宋体" w:cs="宋体"/>
          <w:color w:val="auto"/>
          <w:szCs w:val="21"/>
          <w:highlight w:val="none"/>
        </w:rPr>
      </w:pPr>
      <w:r>
        <w:rPr>
          <w:rFonts w:hint="eastAsia" w:ascii="宋体" w:hAnsi="宋体" w:eastAsia="宋体" w:cs="宋体"/>
          <w:color w:val="auto"/>
          <w:szCs w:val="21"/>
          <w:highlight w:val="none"/>
        </w:rPr>
        <w:t> 日期：</w:t>
      </w:r>
      <w:r>
        <w:rPr>
          <w:rFonts w:hint="eastAsia" w:ascii="宋体" w:hAnsi="宋体" w:eastAsia="宋体" w:cs="宋体"/>
          <w:color w:val="auto"/>
          <w:szCs w:val="21"/>
          <w:highlight w:val="none"/>
          <w:u w:val="single"/>
        </w:rPr>
        <w:t>              </w:t>
      </w:r>
    </w:p>
    <w:p>
      <w:pPr>
        <w:spacing w:after="0" w:line="500" w:lineRule="exact"/>
        <w:jc w:val="both"/>
        <w:rPr>
          <w:rFonts w:ascii="宋体" w:hAnsi="宋体" w:eastAsia="宋体" w:cs="宋体"/>
          <w:b/>
          <w:bCs/>
          <w:color w:val="auto"/>
          <w:sz w:val="28"/>
          <w:szCs w:val="28"/>
          <w:highlight w:val="none"/>
        </w:rPr>
      </w:pPr>
    </w:p>
    <w:p>
      <w:pPr>
        <w:pStyle w:val="4"/>
        <w:rPr>
          <w:rFonts w:ascii="宋体" w:hAnsi="宋体" w:eastAsia="宋体" w:cs="宋体"/>
          <w:color w:val="auto"/>
          <w:highlight w:val="none"/>
        </w:rPr>
      </w:pPr>
    </w:p>
    <w:p>
      <w:pPr>
        <w:spacing w:after="0" w:line="500" w:lineRule="exact"/>
        <w:ind w:left="420"/>
        <w:jc w:val="center"/>
        <w:rPr>
          <w:rFonts w:ascii="宋体" w:hAnsi="宋体" w:eastAsia="宋体" w:cs="宋体"/>
          <w:b/>
          <w:bCs/>
          <w:color w:val="auto"/>
          <w:sz w:val="28"/>
          <w:szCs w:val="28"/>
          <w:highlight w:val="none"/>
        </w:rPr>
      </w:pPr>
    </w:p>
    <w:p>
      <w:pPr>
        <w:rPr>
          <w:rFonts w:ascii="宋体" w:hAnsi="宋体" w:eastAsia="宋体" w:cs="宋体"/>
          <w:color w:val="auto"/>
          <w:sz w:val="24"/>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法定代表人（负责人）身份证明</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4"/>
          <w:highlight w:val="none"/>
        </w:rPr>
      </w:pP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年     月     日</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附：法定代表人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身份证复印件。</w:t>
      </w:r>
    </w:p>
    <w:p>
      <w:pPr>
        <w:spacing w:line="5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授权委托书</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8"/>
          <w:highlight w:val="none"/>
        </w:rPr>
      </w:pP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响应文件、签订合同和处理有关事宜，其法律后果由我方承担。</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（单位名称并盖公章）     </w:t>
      </w:r>
    </w:p>
    <w:p>
      <w:pPr>
        <w:spacing w:line="500" w:lineRule="exact"/>
        <w:ind w:firstLine="4560" w:firstLineChars="19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firstLineChars="1900"/>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before="50" w:after="120" w:afterLines="50" w:line="360" w:lineRule="auto"/>
        <w:jc w:val="center"/>
        <w:rPr>
          <w:rFonts w:ascii="宋体" w:hAnsi="宋体" w:eastAsia="宋体" w:cs="宋体"/>
          <w:color w:val="auto"/>
          <w:sz w:val="24"/>
          <w:highlight w:val="none"/>
          <w:lang w:val="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投标人直接控股股东信息表（格式）</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887"/>
        <w:gridCol w:w="1253"/>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出资比例</w:t>
            </w:r>
          </w:p>
        </w:tc>
        <w:tc>
          <w:tcPr>
            <w:tcW w:w="38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身份证号码或者统一社会信用代码</w:t>
            </w:r>
          </w:p>
        </w:tc>
        <w:tc>
          <w:tcPr>
            <w:tcW w:w="12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lang w:val="zh-CN"/>
        </w:rPr>
      </w:pP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3.投标人不存在直接控股股东的，则填“无”。</w:t>
      </w:r>
    </w:p>
    <w:p>
      <w:pPr>
        <w:spacing w:line="360" w:lineRule="auto"/>
        <w:ind w:firstLine="576"/>
        <w:jc w:val="center"/>
        <w:rPr>
          <w:rFonts w:ascii="宋体" w:hAnsi="宋体" w:eastAsia="宋体" w:cs="宋体"/>
          <w:color w:val="auto"/>
          <w:sz w:val="21"/>
          <w:szCs w:val="21"/>
          <w:highlight w:val="none"/>
          <w:lang w:val="zh-CN"/>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投标人直接管理关系信息表（格式）</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3.投标人不存在直接管理关系的，则填“无”。</w:t>
      </w:r>
    </w:p>
    <w:p>
      <w:pPr>
        <w:spacing w:line="360" w:lineRule="auto"/>
        <w:rPr>
          <w:rFonts w:ascii="宋体" w:hAnsi="宋体" w:eastAsia="宋体" w:cs="宋体"/>
          <w:color w:val="auto"/>
          <w:sz w:val="21"/>
          <w:szCs w:val="21"/>
          <w:highlight w:val="none"/>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9"/>
        <w:rPr>
          <w:rFonts w:ascii="宋体" w:hAnsi="宋体" w:cs="宋体"/>
          <w:color w:val="auto"/>
          <w:highlight w:val="none"/>
        </w:rPr>
      </w:pPr>
    </w:p>
    <w:p>
      <w:pPr>
        <w:spacing w:after="156" w:line="400" w:lineRule="exact"/>
        <w:ind w:right="-285"/>
        <w:rPr>
          <w:rFonts w:ascii="宋体" w:hAnsi="宋体" w:eastAsia="宋体" w:cs="宋体"/>
          <w:color w:val="auto"/>
          <w:sz w:val="18"/>
          <w:highlight w:val="none"/>
        </w:rPr>
      </w:pPr>
    </w:p>
    <w:p>
      <w:pPr>
        <w:spacing w:line="360" w:lineRule="auto"/>
        <w:jc w:val="center"/>
        <w:rPr>
          <w:rFonts w:ascii="宋体" w:hAnsi="宋体" w:eastAsia="宋体" w:cs="宋体"/>
          <w:bCs/>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44"/>
          <w:szCs w:val="44"/>
          <w:highlight w:val="none"/>
        </w:rPr>
        <w:t>竞标声明（格式）</w:t>
      </w:r>
    </w:p>
    <w:p>
      <w:pPr>
        <w:spacing w:line="320" w:lineRule="exact"/>
        <w:jc w:val="center"/>
        <w:rPr>
          <w:rFonts w:ascii="宋体" w:hAnsi="宋体" w:eastAsia="宋体" w:cs="宋体"/>
          <w:color w:val="auto"/>
          <w:sz w:val="24"/>
          <w:szCs w:val="20"/>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□我方本次响应文件内容中未涉及商业秘密；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□我方本次响应文件涉及商业秘密的内容有：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7.与本谈判有关的一切正式往来信函请寄：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邮政编号：</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电话/传真：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帐号/行号：</w:t>
      </w:r>
      <w:r>
        <w:rPr>
          <w:rFonts w:hint="eastAsia" w:ascii="宋体" w:hAnsi="宋体" w:eastAsia="宋体" w:cs="宋体"/>
          <w:color w:val="auto"/>
          <w:sz w:val="24"/>
          <w:highlight w:val="none"/>
          <w:u w:val="singl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360" w:lineRule="auto"/>
        <w:contextualSpacing/>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注：如为联合体竞标，盖章处须加盖联合体各方公章并由联合体各方法定代表人分别签署，否则响应文件按无效处理。</w:t>
      </w:r>
    </w:p>
    <w:p>
      <w:pPr>
        <w:spacing w:line="360" w:lineRule="auto"/>
        <w:contextualSpacing/>
        <w:rPr>
          <w:rFonts w:ascii="宋体" w:hAnsi="宋体" w:eastAsia="宋体" w:cs="宋体"/>
          <w:color w:val="auto"/>
          <w:szCs w:val="21"/>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jc w:val="center"/>
        <w:rPr>
          <w:rFonts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无串通竞标行为的承诺函</w:t>
      </w:r>
    </w:p>
    <w:p>
      <w:pPr>
        <w:spacing w:line="400" w:lineRule="exact"/>
        <w:ind w:firstLine="640" w:firstLineChars="200"/>
        <w:rPr>
          <w:rFonts w:ascii="宋体" w:hAnsi="宋体" w:eastAsia="宋体" w:cs="宋体"/>
          <w:color w:val="auto"/>
          <w:sz w:val="32"/>
          <w:szCs w:val="32"/>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eastAsia="宋体" w:cs="宋体"/>
          <w:color w:val="auto"/>
          <w:sz w:val="24"/>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ind w:right="480" w:firstLine="6160" w:firstLineChars="2200"/>
        <w:contextualSpacing/>
        <w:rPr>
          <w:rFonts w:ascii="宋体" w:hAnsi="宋体" w:eastAsia="宋体" w:cs="宋体"/>
          <w:color w:val="auto"/>
          <w:sz w:val="28"/>
          <w:szCs w:val="28"/>
          <w:highlight w:val="none"/>
        </w:rPr>
      </w:pPr>
    </w:p>
    <w:p>
      <w:pPr>
        <w:spacing w:before="120" w:beforeLines="50" w:after="50"/>
        <w:rPr>
          <w:rFonts w:ascii="宋体" w:hAnsi="宋体" w:eastAsia="宋体" w:cs="宋体"/>
          <w:color w:val="auto"/>
          <w:szCs w:val="21"/>
          <w:highlight w:val="none"/>
        </w:rPr>
      </w:pPr>
    </w:p>
    <w:p>
      <w:pPr>
        <w:spacing w:line="220" w:lineRule="atLeast"/>
        <w:rPr>
          <w:rFonts w:ascii="宋体" w:hAnsi="宋体" w:eastAsia="宋体" w:cs="宋体"/>
          <w:color w:val="auto"/>
          <w:highlight w:val="none"/>
        </w:rPr>
      </w:pPr>
    </w:p>
    <w:p>
      <w:pPr>
        <w:spacing w:line="360" w:lineRule="auto"/>
        <w:contextualSpacing/>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pPr>
        <w:spacing w:line="360" w:lineRule="auto"/>
        <w:contextualSpacing/>
        <w:jc w:val="center"/>
        <w:rPr>
          <w:rFonts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bookmarkStart w:id="48" w:name="_Hlk48036267"/>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采购需求”中的商务要求逐条作出明确响应，并作出偏离说明。</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2.供应商应根据自身的承诺，对照谈判文件要求在“偏离说明”中注明“正偏离”、“负偏离”或者“无偏离”。既不属于“正偏离”也不属于“负偏离”即为“无偏离”。</w:t>
      </w:r>
    </w:p>
    <w:p>
      <w:pPr>
        <w:spacing w:line="360" w:lineRule="auto"/>
        <w:contextualSpacing/>
        <w:rPr>
          <w:rFonts w:ascii="宋体" w:hAnsi="宋体" w:eastAsia="宋体" w:cs="宋体"/>
          <w:color w:val="auto"/>
          <w:sz w:val="24"/>
          <w:highlight w:val="none"/>
          <w:u w:val="single"/>
        </w:rPr>
      </w:pPr>
    </w:p>
    <w:p>
      <w:pPr>
        <w:spacing w:line="360" w:lineRule="auto"/>
        <w:ind w:right="-856" w:rightChars="-389"/>
        <w:contextualSpacing/>
        <w:rPr>
          <w:rFonts w:ascii="宋体" w:hAnsi="宋体" w:eastAsia="宋体" w:cs="宋体"/>
          <w:color w:val="auto"/>
          <w:sz w:val="24"/>
          <w:highlight w:val="none"/>
        </w:rPr>
      </w:pPr>
    </w:p>
    <w:bookmarkEnd w:id="48"/>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pStyle w:val="14"/>
        <w:rPr>
          <w:rFonts w:ascii="宋体" w:hAnsi="宋体" w:eastAsia="宋体" w:cs="宋体"/>
          <w:bCs/>
          <w:color w:val="auto"/>
          <w:sz w:val="44"/>
          <w:szCs w:val="44"/>
          <w:highlight w:val="none"/>
        </w:rPr>
      </w:pPr>
    </w:p>
    <w:p>
      <w:pPr>
        <w:spacing w:line="520" w:lineRule="exact"/>
        <w:jc w:val="center"/>
        <w:rPr>
          <w:rFonts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货物配置清单</w:t>
      </w:r>
    </w:p>
    <w:p>
      <w:pPr>
        <w:spacing w:line="300" w:lineRule="auto"/>
        <w:rPr>
          <w:rFonts w:ascii="宋体" w:hAnsi="宋体" w:eastAsia="宋体" w:cs="宋体"/>
          <w:color w:val="auto"/>
          <w:szCs w:val="21"/>
          <w:highlight w:val="none"/>
        </w:rPr>
      </w:pP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备注：</w:t>
      </w:r>
    </w:p>
    <w:p>
      <w:pPr>
        <w:tabs>
          <w:tab w:val="left" w:pos="1065"/>
        </w:tabs>
        <w:spacing w:line="360" w:lineRule="auto"/>
        <w:contextualSpacing/>
        <w:rPr>
          <w:rFonts w:ascii="宋体" w:hAnsi="宋体" w:eastAsia="宋体" w:cs="宋体"/>
          <w:color w:val="auto"/>
          <w:sz w:val="24"/>
          <w:highlight w:val="none"/>
        </w:rPr>
      </w:pPr>
      <w:r>
        <w:rPr>
          <w:rFonts w:hint="eastAsia" w:ascii="宋体" w:hAnsi="宋体" w:eastAsia="宋体" w:cs="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货物名称、数量及单位、品牌必须与“竞标报价表”一致，</w:t>
      </w:r>
      <w:r>
        <w:rPr>
          <w:rFonts w:hint="eastAsia" w:ascii="宋体" w:hAnsi="宋体" w:eastAsia="宋体" w:cs="宋体"/>
          <w:bCs/>
          <w:color w:val="auto"/>
          <w:sz w:val="24"/>
          <w:highlight w:val="none"/>
        </w:rPr>
        <w:t>否则响应文件按无效处理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rPr>
          <w:rFonts w:ascii="宋体" w:hAnsi="宋体" w:eastAsia="宋体" w:cs="宋体"/>
          <w:bCs/>
          <w:color w:val="auto"/>
          <w:sz w:val="44"/>
          <w:szCs w:val="44"/>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spacing w:line="300" w:lineRule="auto"/>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技术要求偏离表</w:t>
      </w:r>
    </w:p>
    <w:p>
      <w:pPr>
        <w:spacing w:line="360" w:lineRule="auto"/>
        <w:contextualSpacing/>
        <w:rPr>
          <w:rFonts w:ascii="宋体" w:hAnsi="宋体" w:eastAsia="宋体" w:cs="宋体"/>
          <w:color w:val="auto"/>
          <w:sz w:val="32"/>
          <w:szCs w:val="32"/>
          <w:highlight w:val="none"/>
        </w:rPr>
      </w:pP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881"/>
        <w:gridCol w:w="2927"/>
        <w:gridCol w:w="2634"/>
        <w:gridCol w:w="14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49" w:name="_Toc297193185"/>
            <w:bookmarkStart w:id="50" w:name="_Toc301781611"/>
            <w:bookmarkStart w:id="51" w:name="_Toc173211900"/>
            <w:bookmarkStart w:id="52" w:name="_Toc295404981"/>
            <w:bookmarkStart w:id="53" w:name="_Toc383699906"/>
            <w:bookmarkStart w:id="54" w:name="_Toc373333689"/>
            <w:bookmarkStart w:id="55" w:name="_Toc254970729"/>
            <w:bookmarkStart w:id="56" w:name="_Toc173066401"/>
            <w:bookmarkStart w:id="57" w:name="_Toc254970588"/>
            <w:r>
              <w:rPr>
                <w:rFonts w:hint="eastAsia" w:ascii="宋体" w:hAnsi="宋体" w:eastAsia="宋体" w:cs="宋体"/>
                <w:color w:val="auto"/>
                <w:sz w:val="24"/>
                <w:highlight w:val="none"/>
              </w:rPr>
              <w:t>序号</w:t>
            </w:r>
            <w:bookmarkEnd w:id="49"/>
            <w:bookmarkEnd w:id="50"/>
            <w:bookmarkEnd w:id="51"/>
            <w:bookmarkEnd w:id="52"/>
            <w:bookmarkEnd w:id="53"/>
            <w:bookmarkEnd w:id="54"/>
            <w:bookmarkEnd w:id="55"/>
            <w:bookmarkEnd w:id="56"/>
            <w:bookmarkEnd w:id="57"/>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bookmarkStart w:id="58" w:name="_Toc301781612"/>
            <w:bookmarkStart w:id="59" w:name="_Toc254970589"/>
            <w:bookmarkStart w:id="60" w:name="_Toc383699907"/>
            <w:bookmarkStart w:id="61" w:name="_Toc173066402"/>
            <w:bookmarkStart w:id="62" w:name="_Toc254970730"/>
            <w:bookmarkStart w:id="63" w:name="_Toc297193186"/>
            <w:bookmarkStart w:id="64" w:name="_Toc173211901"/>
            <w:bookmarkStart w:id="65" w:name="_Toc373333690"/>
            <w:bookmarkStart w:id="66" w:name="_Toc295404982"/>
            <w:r>
              <w:rPr>
                <w:rFonts w:hint="eastAsia" w:ascii="宋体" w:hAnsi="宋体" w:eastAsia="宋体" w:cs="宋体"/>
                <w:color w:val="auto"/>
                <w:sz w:val="24"/>
                <w:highlight w:val="none"/>
              </w:rPr>
              <w:t>谈判文件要求</w:t>
            </w:r>
            <w:bookmarkEnd w:id="58"/>
            <w:bookmarkEnd w:id="59"/>
            <w:bookmarkEnd w:id="60"/>
            <w:bookmarkEnd w:id="61"/>
            <w:bookmarkEnd w:id="62"/>
            <w:bookmarkEnd w:id="63"/>
            <w:bookmarkEnd w:id="64"/>
            <w:bookmarkEnd w:id="65"/>
            <w:bookmarkEnd w:id="66"/>
          </w:p>
        </w:tc>
        <w:tc>
          <w:tcPr>
            <w:tcW w:w="2634" w:type="dxa"/>
            <w:vAlign w:val="center"/>
          </w:tcPr>
          <w:p>
            <w:pPr>
              <w:spacing w:line="360" w:lineRule="auto"/>
              <w:contextualSpacing/>
              <w:jc w:val="center"/>
              <w:rPr>
                <w:rFonts w:ascii="宋体" w:hAnsi="宋体" w:eastAsia="宋体" w:cs="宋体"/>
                <w:color w:val="auto"/>
                <w:sz w:val="24"/>
                <w:highlight w:val="none"/>
              </w:rPr>
            </w:pPr>
            <w:bookmarkStart w:id="67" w:name="_Toc173066403"/>
            <w:bookmarkStart w:id="68" w:name="_Toc373333691"/>
            <w:bookmarkStart w:id="69" w:name="_Toc173211902"/>
            <w:bookmarkStart w:id="70" w:name="_Toc254970731"/>
            <w:bookmarkStart w:id="71" w:name="_Toc297193187"/>
            <w:bookmarkStart w:id="72" w:name="_Toc295404983"/>
            <w:bookmarkStart w:id="73" w:name="_Toc301781613"/>
            <w:bookmarkStart w:id="74" w:name="_Toc254970590"/>
            <w:bookmarkStart w:id="75" w:name="_Toc383699908"/>
            <w:r>
              <w:rPr>
                <w:rFonts w:hint="eastAsia" w:ascii="宋体" w:hAnsi="宋体" w:eastAsia="宋体" w:cs="宋体"/>
                <w:color w:val="auto"/>
                <w:sz w:val="24"/>
                <w:highlight w:val="none"/>
              </w:rPr>
              <w:t>竞标响应</w:t>
            </w:r>
            <w:bookmarkEnd w:id="67"/>
            <w:bookmarkEnd w:id="68"/>
            <w:bookmarkEnd w:id="69"/>
            <w:bookmarkEnd w:id="70"/>
            <w:bookmarkEnd w:id="71"/>
            <w:bookmarkEnd w:id="72"/>
            <w:bookmarkEnd w:id="73"/>
            <w:bookmarkEnd w:id="74"/>
            <w:bookmarkEnd w:id="75"/>
          </w:p>
        </w:tc>
        <w:tc>
          <w:tcPr>
            <w:tcW w:w="1437" w:type="dxa"/>
            <w:vAlign w:val="center"/>
          </w:tcPr>
          <w:p>
            <w:pPr>
              <w:spacing w:line="360" w:lineRule="auto"/>
              <w:contextualSpacing/>
              <w:jc w:val="center"/>
              <w:rPr>
                <w:rFonts w:ascii="宋体" w:hAnsi="宋体" w:eastAsia="宋体" w:cs="宋体"/>
                <w:color w:val="auto"/>
                <w:sz w:val="24"/>
                <w:highlight w:val="none"/>
              </w:rPr>
            </w:pPr>
            <w:bookmarkStart w:id="76" w:name="_Toc297193188"/>
            <w:bookmarkStart w:id="77" w:name="_Toc373333692"/>
            <w:bookmarkStart w:id="78" w:name="_Toc383699909"/>
            <w:bookmarkStart w:id="79" w:name="_Toc295404984"/>
            <w:bookmarkStart w:id="80" w:name="_Toc301781614"/>
            <w:bookmarkStart w:id="81" w:name="_Toc254970732"/>
            <w:bookmarkStart w:id="82" w:name="_Toc173211903"/>
            <w:bookmarkStart w:id="83" w:name="_Toc254970591"/>
            <w:bookmarkStart w:id="84" w:name="_Toc173066404"/>
            <w:r>
              <w:rPr>
                <w:rFonts w:hint="eastAsia" w:ascii="宋体" w:hAnsi="宋体" w:eastAsia="宋体" w:cs="宋体"/>
                <w:color w:val="auto"/>
                <w:sz w:val="24"/>
                <w:highlight w:val="none"/>
              </w:rPr>
              <w:t>偏离</w:t>
            </w:r>
            <w:bookmarkEnd w:id="76"/>
            <w:bookmarkEnd w:id="77"/>
            <w:bookmarkEnd w:id="78"/>
            <w:bookmarkEnd w:id="79"/>
            <w:bookmarkEnd w:id="80"/>
            <w:bookmarkEnd w:id="81"/>
            <w:bookmarkEnd w:id="82"/>
            <w:bookmarkEnd w:id="83"/>
            <w:bookmarkEnd w:id="84"/>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85" w:name="_Toc254970734"/>
            <w:bookmarkStart w:id="86" w:name="_Toc297193190"/>
            <w:bookmarkStart w:id="87" w:name="_Toc301781616"/>
            <w:bookmarkStart w:id="88" w:name="_Toc373333694"/>
            <w:bookmarkStart w:id="89" w:name="_Toc295404986"/>
            <w:bookmarkStart w:id="90" w:name="_Toc173211905"/>
            <w:bookmarkStart w:id="91" w:name="_Toc173066406"/>
            <w:bookmarkStart w:id="92" w:name="_Toc254970593"/>
            <w:bookmarkStart w:id="93" w:name="_Toc383699911"/>
            <w:r>
              <w:rPr>
                <w:rFonts w:hint="eastAsia" w:ascii="宋体" w:hAnsi="宋体" w:eastAsia="宋体" w:cs="宋体"/>
                <w:color w:val="auto"/>
                <w:sz w:val="24"/>
                <w:highlight w:val="none"/>
              </w:rPr>
              <w:t>1</w:t>
            </w:r>
            <w:bookmarkEnd w:id="85"/>
            <w:bookmarkEnd w:id="86"/>
            <w:bookmarkEnd w:id="87"/>
            <w:bookmarkEnd w:id="88"/>
            <w:bookmarkEnd w:id="89"/>
            <w:bookmarkEnd w:id="90"/>
            <w:bookmarkEnd w:id="91"/>
            <w:bookmarkEnd w:id="92"/>
            <w:bookmarkEnd w:id="93"/>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94" w:name="_Toc297193191"/>
            <w:bookmarkStart w:id="95" w:name="_Toc173211906"/>
            <w:bookmarkStart w:id="96" w:name="_Toc301781617"/>
            <w:bookmarkStart w:id="97" w:name="_Toc173066407"/>
            <w:bookmarkStart w:id="98" w:name="_Toc373333695"/>
            <w:bookmarkStart w:id="99" w:name="_Toc383699912"/>
            <w:bookmarkStart w:id="100" w:name="_Toc254970735"/>
            <w:bookmarkStart w:id="101" w:name="_Toc254970594"/>
            <w:bookmarkStart w:id="102" w:name="_Toc295404987"/>
            <w:r>
              <w:rPr>
                <w:rFonts w:hint="eastAsia" w:ascii="宋体" w:hAnsi="宋体" w:eastAsia="宋体" w:cs="宋体"/>
                <w:color w:val="auto"/>
                <w:sz w:val="24"/>
                <w:highlight w:val="none"/>
              </w:rPr>
              <w:t>2</w:t>
            </w:r>
            <w:bookmarkEnd w:id="94"/>
            <w:bookmarkEnd w:id="95"/>
            <w:bookmarkEnd w:id="96"/>
            <w:bookmarkEnd w:id="97"/>
            <w:bookmarkEnd w:id="98"/>
            <w:bookmarkEnd w:id="99"/>
            <w:bookmarkEnd w:id="100"/>
            <w:bookmarkEnd w:id="101"/>
            <w:bookmarkEnd w:id="102"/>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03" w:name="_Toc173066408"/>
            <w:bookmarkStart w:id="104" w:name="_Toc173211907"/>
            <w:bookmarkStart w:id="105" w:name="_Toc254970595"/>
            <w:bookmarkStart w:id="106" w:name="_Toc373333696"/>
            <w:bookmarkStart w:id="107" w:name="_Toc295404988"/>
            <w:bookmarkStart w:id="108" w:name="_Toc383699913"/>
            <w:bookmarkStart w:id="109" w:name="_Toc254970736"/>
            <w:bookmarkStart w:id="110" w:name="_Toc297193192"/>
            <w:bookmarkStart w:id="111" w:name="_Toc301781618"/>
            <w:r>
              <w:rPr>
                <w:rFonts w:hint="eastAsia" w:ascii="宋体" w:hAnsi="宋体" w:eastAsia="宋体" w:cs="宋体"/>
                <w:color w:val="auto"/>
                <w:sz w:val="24"/>
                <w:highlight w:val="none"/>
              </w:rPr>
              <w:t>3</w:t>
            </w:r>
            <w:bookmarkEnd w:id="103"/>
            <w:bookmarkEnd w:id="104"/>
            <w:bookmarkEnd w:id="105"/>
            <w:bookmarkEnd w:id="106"/>
            <w:bookmarkEnd w:id="107"/>
            <w:bookmarkEnd w:id="108"/>
            <w:bookmarkEnd w:id="109"/>
            <w:bookmarkEnd w:id="110"/>
            <w:bookmarkEnd w:id="111"/>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12" w:name="_Toc173066409"/>
            <w:bookmarkStart w:id="113" w:name="_Toc297193193"/>
            <w:bookmarkStart w:id="114" w:name="_Toc254970596"/>
            <w:bookmarkStart w:id="115" w:name="_Toc373333697"/>
            <w:bookmarkStart w:id="116" w:name="_Toc295404989"/>
            <w:bookmarkStart w:id="117" w:name="_Toc173211908"/>
            <w:bookmarkStart w:id="118" w:name="_Toc254970737"/>
            <w:bookmarkStart w:id="119" w:name="_Toc383699914"/>
            <w:bookmarkStart w:id="120" w:name="_Toc301781619"/>
            <w:r>
              <w:rPr>
                <w:rFonts w:hint="eastAsia" w:ascii="宋体" w:hAnsi="宋体" w:eastAsia="宋体" w:cs="宋体"/>
                <w:color w:val="auto"/>
                <w:sz w:val="24"/>
                <w:highlight w:val="none"/>
              </w:rPr>
              <w:t>4</w:t>
            </w:r>
            <w:bookmarkEnd w:id="112"/>
            <w:bookmarkEnd w:id="113"/>
            <w:bookmarkEnd w:id="114"/>
            <w:bookmarkEnd w:id="115"/>
            <w:bookmarkEnd w:id="116"/>
            <w:bookmarkEnd w:id="117"/>
            <w:bookmarkEnd w:id="118"/>
            <w:bookmarkEnd w:id="119"/>
            <w:bookmarkEnd w:id="120"/>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21" w:name="_Toc297193194"/>
            <w:bookmarkStart w:id="122" w:name="_Toc254970738"/>
            <w:bookmarkStart w:id="123" w:name="_Toc173066410"/>
            <w:bookmarkStart w:id="124" w:name="_Toc301781620"/>
            <w:bookmarkStart w:id="125" w:name="_Toc295404990"/>
            <w:bookmarkStart w:id="126" w:name="_Toc383699915"/>
            <w:bookmarkStart w:id="127" w:name="_Toc373333698"/>
            <w:bookmarkStart w:id="128" w:name="_Toc173211909"/>
            <w:bookmarkStart w:id="129" w:name="_Toc254970597"/>
            <w:r>
              <w:rPr>
                <w:rFonts w:hint="eastAsia" w:ascii="宋体" w:hAnsi="宋体" w:eastAsia="宋体" w:cs="宋体"/>
                <w:color w:val="auto"/>
                <w:sz w:val="24"/>
                <w:highlight w:val="none"/>
              </w:rPr>
              <w:t>5</w:t>
            </w:r>
            <w:bookmarkEnd w:id="121"/>
            <w:bookmarkEnd w:id="122"/>
            <w:bookmarkEnd w:id="123"/>
            <w:bookmarkEnd w:id="124"/>
            <w:bookmarkEnd w:id="125"/>
            <w:bookmarkEnd w:id="126"/>
            <w:bookmarkEnd w:id="127"/>
            <w:bookmarkEnd w:id="128"/>
            <w:bookmarkEnd w:id="129"/>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30" w:name="_Toc383699916"/>
            <w:bookmarkStart w:id="131" w:name="_Toc295404991"/>
            <w:bookmarkStart w:id="132" w:name="_Toc173066415"/>
            <w:bookmarkStart w:id="133" w:name="_Toc254970602"/>
            <w:bookmarkStart w:id="134" w:name="_Toc301781621"/>
            <w:bookmarkStart w:id="135" w:name="_Toc254970743"/>
            <w:bookmarkStart w:id="136" w:name="_Toc297193195"/>
            <w:bookmarkStart w:id="137" w:name="_Toc373333699"/>
            <w:bookmarkStart w:id="138" w:name="_Toc173211914"/>
            <w:r>
              <w:rPr>
                <w:rFonts w:hint="eastAsia" w:ascii="宋体" w:hAnsi="宋体" w:eastAsia="宋体" w:cs="宋体"/>
                <w:color w:val="auto"/>
                <w:sz w:val="24"/>
                <w:highlight w:val="none"/>
              </w:rPr>
              <w:t>…</w:t>
            </w:r>
            <w:bookmarkEnd w:id="130"/>
            <w:bookmarkEnd w:id="131"/>
            <w:bookmarkEnd w:id="132"/>
            <w:bookmarkEnd w:id="133"/>
            <w:bookmarkEnd w:id="134"/>
            <w:bookmarkEnd w:id="135"/>
            <w:bookmarkEnd w:id="136"/>
            <w:bookmarkEnd w:id="137"/>
            <w:bookmarkEnd w:id="138"/>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w:t>
      </w:r>
      <w:bookmarkStart w:id="139" w:name="_Hlk65854900"/>
      <w:r>
        <w:rPr>
          <w:rFonts w:hint="eastAsia" w:ascii="宋体" w:hAnsi="宋体" w:eastAsia="宋体" w:cs="宋体"/>
          <w:color w:val="auto"/>
          <w:sz w:val="24"/>
          <w:highlight w:val="none"/>
        </w:rPr>
        <w:t>技术要求逐条作出明确响应</w:t>
      </w:r>
      <w:bookmarkEnd w:id="139"/>
      <w:r>
        <w:rPr>
          <w:rFonts w:hint="eastAsia" w:ascii="宋体" w:hAnsi="宋体" w:eastAsia="宋体" w:cs="宋体"/>
          <w:color w:val="auto"/>
          <w:sz w:val="24"/>
          <w:highlight w:val="none"/>
        </w:rPr>
        <w:t>，并作出偏离说明。</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2. 供应商应根据自身的承诺，对照谈判文件要求，在“偏离说明”中注明“正偏离”、“负偏离”或者“无偏离”。既不属于“正偏离”也不属于“负偏离”即为“无偏离”。</w:t>
      </w:r>
    </w:p>
    <w:p>
      <w:pPr>
        <w:spacing w:line="360" w:lineRule="auto"/>
        <w:ind w:right="-856" w:rightChars="-389"/>
        <w:contextualSpacing/>
        <w:jc w:val="center"/>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7"/>
        <w:rPr>
          <w:rFonts w:hint="eastAsia" w:ascii="宋体" w:hAnsi="宋体" w:eastAsia="宋体" w:cs="宋体"/>
          <w:color w:val="auto"/>
          <w:sz w:val="24"/>
          <w:highlight w:val="none"/>
          <w:u w:val="single"/>
        </w:rPr>
      </w:pPr>
    </w:p>
    <w:p>
      <w:pPr>
        <w:pStyle w:val="7"/>
        <w:rPr>
          <w:rFonts w:hint="eastAsia" w:ascii="宋体" w:hAnsi="宋体" w:eastAsia="宋体" w:cs="宋体"/>
          <w:color w:val="auto"/>
          <w:sz w:val="24"/>
          <w:highlight w:val="none"/>
          <w:u w:val="single"/>
        </w:rPr>
      </w:pPr>
    </w:p>
    <w:p>
      <w:pPr>
        <w:pStyle w:val="7"/>
        <w:rPr>
          <w:rFonts w:hint="eastAsia" w:ascii="宋体" w:hAnsi="宋体" w:eastAsia="宋体" w:cs="宋体"/>
          <w:color w:val="auto"/>
          <w:sz w:val="24"/>
          <w:highlight w:val="none"/>
          <w:u w:val="single"/>
        </w:rPr>
      </w:pPr>
    </w:p>
    <w:p>
      <w:pPr>
        <w:pStyle w:val="57"/>
        <w:spacing w:line="360" w:lineRule="auto"/>
        <w:ind w:firstLine="0" w:firstLineChars="0"/>
        <w:rPr>
          <w:rFonts w:hint="eastAsia" w:eastAsia="黑体"/>
          <w:bCs/>
          <w:sz w:val="24"/>
          <w:lang w:val="en-US" w:eastAsia="zh-CN"/>
        </w:rPr>
      </w:pPr>
      <w:r>
        <w:rPr>
          <w:rFonts w:hint="eastAsia" w:eastAsia="黑体"/>
          <w:bCs/>
          <w:sz w:val="24"/>
          <w:lang w:val="en-US" w:eastAsia="zh-CN"/>
        </w:rPr>
        <w:t>廉洁协议书</w:t>
      </w:r>
    </w:p>
    <w:p>
      <w:pPr>
        <w:pStyle w:val="58"/>
        <w:tabs>
          <w:tab w:val="left" w:pos="1251"/>
        </w:tabs>
        <w:spacing w:line="540" w:lineRule="exact"/>
        <w:ind w:left="0" w:leftChars="0" w:firstLine="0" w:firstLineChars="0"/>
        <w:jc w:val="center"/>
        <w:rPr>
          <w:rFonts w:hint="eastAsia" w:ascii="黑体" w:hAnsi="黑体" w:eastAsia="黑体" w:cs="黑体"/>
          <w:color w:val="auto"/>
          <w:sz w:val="52"/>
          <w:szCs w:val="52"/>
          <w:lang w:val="en-US" w:eastAsia="zh-CN"/>
        </w:rPr>
      </w:pPr>
      <w:bookmarkStart w:id="140" w:name="bookmark11"/>
      <w:r>
        <w:rPr>
          <w:rFonts w:hint="eastAsia" w:ascii="黑体" w:hAnsi="黑体" w:eastAsia="黑体" w:cs="黑体"/>
          <w:color w:val="auto"/>
          <w:sz w:val="52"/>
          <w:szCs w:val="52"/>
          <w:lang w:val="en-US" w:eastAsia="zh-CN"/>
        </w:rPr>
        <w:t>隆林各族自治县中医医院</w:t>
      </w:r>
    </w:p>
    <w:p>
      <w:pPr>
        <w:pStyle w:val="58"/>
        <w:tabs>
          <w:tab w:val="left" w:pos="1251"/>
        </w:tabs>
        <w:spacing w:line="540" w:lineRule="exact"/>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52"/>
          <w:szCs w:val="52"/>
          <w:lang w:val="en-US" w:eastAsia="zh-CN"/>
        </w:rPr>
        <w:t>供应商廉洁承诺书</w:t>
      </w:r>
    </w:p>
    <w:bookmarkEnd w:id="140"/>
    <w:p>
      <w:pPr>
        <w:pStyle w:val="58"/>
        <w:tabs>
          <w:tab w:val="left" w:pos="1251"/>
        </w:tabs>
        <w:spacing w:line="540" w:lineRule="exact"/>
        <w:ind w:firstLine="600"/>
        <w:jc w:val="both"/>
        <w:rPr>
          <w:rFonts w:hint="eastAsia" w:ascii="华文仿宋" w:hAnsi="华文仿宋" w:eastAsia="华文仿宋"/>
          <w:color w:val="auto"/>
          <w:sz w:val="32"/>
          <w:szCs w:val="32"/>
        </w:rPr>
      </w:pP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根据医院党风廉政以及医药领域腐败问题集中治理的工作的要求，作为参与医院合作供应商，做出如下郑重承诺：</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1.在业务往来中，严格遵守医院廉洁建设的各项制度和规定，并支持医院执行有关规定和制度。</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2.本公司（含工作人员）决不以任何名义向医院工作人员（含配偶、子女、亲属其他共同利益关系人员）赠送礼品（包括但不限于礼金、股份、有价证券和贵重物</w:t>
      </w:r>
      <w:r>
        <w:rPr>
          <w:rFonts w:hint="eastAsia" w:ascii="仿宋_GB2312" w:hAnsi="仿宋_GB2312" w:eastAsia="仿宋_GB2312" w:cs="仿宋_GB2312"/>
          <w:color w:val="auto"/>
          <w:w w:val="80"/>
          <w:sz w:val="32"/>
          <w:szCs w:val="32"/>
          <w:lang w:val="zh-CN" w:eastAsia="zh-CN"/>
        </w:rPr>
        <w:t>品等</w:t>
      </w:r>
      <w:r>
        <w:rPr>
          <w:rFonts w:hint="eastAsia" w:ascii="仿宋_GB2312" w:hAnsi="仿宋_GB2312" w:eastAsia="仿宋_GB2312" w:cs="仿宋_GB2312"/>
          <w:color w:val="auto"/>
          <w:w w:val="80"/>
          <w:sz w:val="32"/>
          <w:szCs w:val="32"/>
          <w:lang w:val="en-US" w:eastAsia="zh-CN"/>
        </w:rPr>
        <w:t>)；不得为医院工作人员（含配偶、子女、亲属及其他共同利益关系人员）安排工作，以及支付应由其个人自付的各种费用（包括但不限于住宅装修、食宿、子女出国、食宿等）</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3.本公司（含工作人员）不得为谋取私利擅自与医院工作人员（含配偶、子女、亲属其他共同利益关系人员）进行私下商谈或者达成默契。</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rPr>
      </w:pPr>
      <w:r>
        <w:rPr>
          <w:rFonts w:hint="eastAsia" w:ascii="仿宋_GB2312" w:hAnsi="仿宋_GB2312" w:eastAsia="仿宋_GB2312" w:cs="仿宋_GB2312"/>
          <w:color w:val="auto"/>
          <w:w w:val="80"/>
          <w:sz w:val="32"/>
          <w:szCs w:val="32"/>
          <w:lang w:val="en-US" w:eastAsia="zh-CN"/>
        </w:rPr>
        <w:t>4.本公司（含工作人员）</w:t>
      </w:r>
      <w:r>
        <w:rPr>
          <w:rFonts w:hint="eastAsia" w:ascii="仿宋_GB2312" w:hAnsi="仿宋_GB2312" w:eastAsia="仿宋_GB2312" w:cs="仿宋_GB2312"/>
          <w:color w:val="auto"/>
          <w:w w:val="80"/>
          <w:sz w:val="32"/>
          <w:szCs w:val="32"/>
        </w:rPr>
        <w:t>不得以洽谈业务、签订合同等为借口，邀请</w:t>
      </w:r>
      <w:r>
        <w:rPr>
          <w:rFonts w:hint="eastAsia" w:ascii="仿宋_GB2312" w:hAnsi="仿宋_GB2312" w:eastAsia="仿宋_GB2312" w:cs="仿宋_GB2312"/>
          <w:color w:val="auto"/>
          <w:w w:val="80"/>
          <w:sz w:val="32"/>
          <w:szCs w:val="32"/>
          <w:lang w:val="en-US" w:eastAsia="zh-CN"/>
        </w:rPr>
        <w:t>医院工作人员</w:t>
      </w:r>
      <w:r>
        <w:rPr>
          <w:rFonts w:hint="eastAsia" w:ascii="仿宋_GB2312" w:hAnsi="仿宋_GB2312" w:eastAsia="仿宋_GB2312" w:cs="仿宋_GB2312"/>
          <w:color w:val="auto"/>
          <w:w w:val="80"/>
          <w:sz w:val="32"/>
          <w:szCs w:val="32"/>
        </w:rPr>
        <w:t>（含</w:t>
      </w:r>
      <w:r>
        <w:rPr>
          <w:rFonts w:hint="eastAsia" w:ascii="仿宋_GB2312" w:hAnsi="仿宋_GB2312" w:eastAsia="仿宋_GB2312" w:cs="仿宋_GB2312"/>
          <w:color w:val="auto"/>
          <w:w w:val="80"/>
          <w:sz w:val="32"/>
          <w:szCs w:val="32"/>
          <w:lang w:val="en-US" w:eastAsia="zh-CN"/>
        </w:rPr>
        <w:t>配偶、子女、亲属及其他共同利益关系人员）</w:t>
      </w:r>
      <w:r>
        <w:rPr>
          <w:rFonts w:hint="eastAsia" w:ascii="仿宋_GB2312" w:hAnsi="仿宋_GB2312" w:eastAsia="仿宋_GB2312" w:cs="仿宋_GB2312"/>
          <w:color w:val="auto"/>
          <w:w w:val="80"/>
          <w:sz w:val="32"/>
          <w:szCs w:val="32"/>
        </w:rPr>
        <w:t>外出旅游或进入营业性娱乐场所。</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firstLine="6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5.本公司发现医院工作人员</w:t>
      </w:r>
      <w:r>
        <w:rPr>
          <w:rFonts w:hint="eastAsia" w:ascii="仿宋_GB2312" w:hAnsi="仿宋_GB2312" w:eastAsia="仿宋_GB2312" w:cs="仿宋_GB2312"/>
          <w:color w:val="auto"/>
          <w:w w:val="80"/>
          <w:sz w:val="32"/>
          <w:szCs w:val="32"/>
        </w:rPr>
        <w:t>（含</w:t>
      </w:r>
      <w:r>
        <w:rPr>
          <w:rFonts w:hint="eastAsia" w:ascii="仿宋_GB2312" w:hAnsi="仿宋_GB2312" w:eastAsia="仿宋_GB2312" w:cs="仿宋_GB2312"/>
          <w:color w:val="auto"/>
          <w:w w:val="80"/>
          <w:sz w:val="32"/>
          <w:szCs w:val="32"/>
          <w:lang w:val="en-US" w:eastAsia="zh-CN"/>
        </w:rPr>
        <w:t>配偶、子女、亲属及其他共同利益关系人员）有违反本承诺行为倾向的，应及时提醒纠正并向医院纪委（电话：0776-2505111）举报。</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firstLine="6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6.经医院监督部门核实认定发现本公司（含工作人员）违反承诺，医院可立即取消与公司的合作，同时医院可保留追究其相应的法律责任。</w:t>
      </w:r>
    </w:p>
    <w:p>
      <w:pPr>
        <w:pStyle w:val="58"/>
        <w:tabs>
          <w:tab w:val="left" w:pos="1251"/>
        </w:tabs>
        <w:spacing w:line="540" w:lineRule="exact"/>
        <w:ind w:left="0" w:leftChars="0" w:firstLine="0" w:firstLineChars="0"/>
        <w:jc w:val="both"/>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承诺方：</w:t>
      </w:r>
    </w:p>
    <w:p>
      <w:pPr>
        <w:pStyle w:val="58"/>
        <w:tabs>
          <w:tab w:val="left" w:pos="1251"/>
        </w:tabs>
        <w:spacing w:line="540" w:lineRule="exact"/>
        <w:ind w:left="0" w:leftChars="0" w:firstLine="0" w:firstLineChars="0"/>
        <w:jc w:val="both"/>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法人代表（或委托人）：</w:t>
      </w:r>
    </w:p>
    <w:p>
      <w:pPr>
        <w:pStyle w:val="58"/>
        <w:tabs>
          <w:tab w:val="left" w:pos="1251"/>
        </w:tabs>
        <w:spacing w:line="540" w:lineRule="exact"/>
        <w:ind w:firstLine="600"/>
        <w:jc w:val="both"/>
        <w:rPr>
          <w:w w:val="80"/>
        </w:rPr>
      </w:pPr>
      <w:r>
        <w:rPr>
          <w:rFonts w:hint="eastAsia" w:ascii="仿宋_GB2312" w:hAnsi="仿宋_GB2312" w:eastAsia="仿宋_GB2312" w:cs="仿宋_GB2312"/>
          <w:color w:val="auto"/>
          <w:w w:val="80"/>
          <w:sz w:val="32"/>
          <w:szCs w:val="32"/>
          <w:lang w:val="en-US" w:eastAsia="zh-CN"/>
        </w:rPr>
        <w:t xml:space="preserve">                                               年     月     日  </w:t>
      </w:r>
    </w:p>
    <w:p>
      <w:pPr>
        <w:pStyle w:val="6"/>
        <w:tabs>
          <w:tab w:val="left" w:pos="1442"/>
        </w:tabs>
        <w:kinsoku w:val="0"/>
        <w:overflowPunct w:val="0"/>
        <w:spacing w:before="54"/>
        <w:ind w:right="66"/>
        <w:rPr>
          <w:rFonts w:hint="eastAsia" w:ascii="黑体" w:hAnsi="黑体" w:eastAsia="黑体"/>
          <w:color w:val="auto"/>
          <w:sz w:val="32"/>
          <w:szCs w:val="24"/>
          <w:highlight w:val="none"/>
        </w:rPr>
      </w:pPr>
      <w:r>
        <w:rPr>
          <w:rFonts w:hint="eastAsia" w:ascii="黑体" w:hAnsi="黑体" w:eastAsia="黑体"/>
          <w:color w:val="auto"/>
          <w:sz w:val="32"/>
          <w:szCs w:val="24"/>
          <w:highlight w:val="none"/>
        </w:rPr>
        <w:t>第六章</w:t>
      </w:r>
      <w:r>
        <w:rPr>
          <w:rFonts w:hint="eastAsia" w:ascii="黑体" w:hAnsi="黑体" w:eastAsia="黑体"/>
          <w:color w:val="auto"/>
          <w:sz w:val="32"/>
          <w:szCs w:val="24"/>
          <w:highlight w:val="none"/>
        </w:rPr>
        <w:tab/>
      </w:r>
      <w:r>
        <w:rPr>
          <w:rFonts w:hint="eastAsia" w:ascii="黑体" w:hAnsi="黑体" w:eastAsia="黑体"/>
          <w:color w:val="auto"/>
          <w:sz w:val="32"/>
          <w:szCs w:val="24"/>
          <w:highlight w:val="none"/>
        </w:rPr>
        <w:t>评定成交的标准</w:t>
      </w:r>
    </w:p>
    <w:p>
      <w:pPr>
        <w:pStyle w:val="9"/>
        <w:kinsoku w:val="0"/>
        <w:overflowPunct w:val="0"/>
        <w:spacing w:before="8"/>
        <w:rPr>
          <w:rFonts w:hint="eastAsia" w:ascii="黑体" w:hAnsi="黑体" w:eastAsia="黑体"/>
          <w:b/>
          <w:color w:val="auto"/>
          <w:sz w:val="24"/>
          <w:szCs w:val="24"/>
          <w:highlight w:val="none"/>
        </w:rPr>
      </w:pPr>
    </w:p>
    <w:p>
      <w:pPr>
        <w:pStyle w:val="12"/>
        <w:shd w:val="clear" w:color="auto" w:fill="FFFFFF"/>
        <w:spacing w:line="360" w:lineRule="auto"/>
        <w:ind w:firstLine="590" w:firstLineChars="245"/>
        <w:rPr>
          <w:rFonts w:hint="eastAsia" w:hAnsi="宋体" w:cs="宋体"/>
          <w:b/>
          <w:color w:val="auto"/>
          <w:sz w:val="24"/>
          <w:szCs w:val="24"/>
          <w:highlight w:val="none"/>
        </w:rPr>
      </w:pPr>
      <w:r>
        <w:rPr>
          <w:rFonts w:hint="eastAsia" w:hAnsi="宋体" w:cs="宋体"/>
          <w:b/>
          <w:color w:val="auto"/>
          <w:sz w:val="24"/>
          <w:szCs w:val="24"/>
          <w:highlight w:val="none"/>
        </w:rPr>
        <w:t>一、评审原则</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（一）谈判小组成员组成：本竞争性谈判采购项目的谈判小组由</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人组成。【采购人代表和评审专家共三人以上的单数组成，（达到公开招标数额标准以上的项目，竞争性谈判小组成员由五人以上单数组成），其中评审专家的人数不得少于谈判小组成员总数的三分之二。】</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（二）评审依据：以竞争性谈判文件和竞争性响应文件为依据。</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二、评审办法</w:t>
      </w:r>
    </w:p>
    <w:p>
      <w:pPr>
        <w:pStyle w:val="12"/>
        <w:keepNext w:val="0"/>
        <w:keepLines w:val="0"/>
        <w:pageBreakBefore w:val="0"/>
        <w:shd w:val="clear" w:color="auto" w:fill="FFFFFF"/>
        <w:wordWrap/>
        <w:topLinePunct w:val="0"/>
        <w:autoSpaceDE/>
        <w:autoSpaceDN/>
        <w:bidi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谈判小组将以竞争性谈判文件为依据，对资格性检查合格的竞争性响应文件进行评审，在质量和服务均能满足竞争性谈判文件实质性响应要求的供应商中，按下列程序确定成交供应商：</w:t>
      </w:r>
    </w:p>
    <w:p>
      <w:pPr>
        <w:pStyle w:val="12"/>
        <w:keepNext w:val="0"/>
        <w:keepLines w:val="0"/>
        <w:pageBreakBefore w:val="0"/>
        <w:shd w:val="clear" w:color="auto" w:fill="FFFFFF"/>
        <w:wordWrap/>
        <w:topLinePunct w:val="0"/>
        <w:autoSpaceDE/>
        <w:autoSpaceDN/>
        <w:bidi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2.谈判小组将以谈判文件、响应文件为评审依据，在响应文件满足谈判文件全部实质性要求且</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最低的供应商为成交候选人。</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三、成交候选人推荐和确定原则</w:t>
      </w:r>
    </w:p>
    <w:p>
      <w:pPr>
        <w:pStyle w:val="12"/>
        <w:shd w:val="clear" w:color="auto" w:fill="FFFFFF"/>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（一）竞争性响应文件在质量和服务均能满足竞争性谈判文件实质性响应要求时，谈判小组将按</w:t>
      </w:r>
      <w:r>
        <w:rPr>
          <w:rFonts w:hint="eastAsia" w:hAnsi="宋体" w:cs="宋体"/>
          <w:color w:val="auto"/>
          <w:sz w:val="24"/>
          <w:szCs w:val="24"/>
          <w:highlight w:val="none"/>
          <w:lang w:eastAsia="zh-CN"/>
        </w:rPr>
        <w:t>评审</w:t>
      </w:r>
      <w:r>
        <w:rPr>
          <w:rFonts w:hint="eastAsia" w:hAnsi="宋体" w:cs="宋体"/>
          <w:color w:val="auto"/>
          <w:sz w:val="24"/>
          <w:szCs w:val="24"/>
          <w:highlight w:val="none"/>
        </w:rPr>
        <w:t>报价由低到高顺序推荐3名以上成交候选人（</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pStyle w:val="7"/>
        <w:shd w:val="clear" w:color="auto" w:fill="FFFFFF"/>
        <w:overflowPunct w:val="0"/>
        <w:spacing w:line="360" w:lineRule="auto"/>
        <w:rPr>
          <w:rFonts w:hint="eastAsia" w:ascii="宋体" w:hAnsi="宋体"/>
          <w:b/>
          <w:bCs/>
          <w:color w:val="auto"/>
          <w:sz w:val="24"/>
          <w:highlight w:val="none"/>
        </w:rPr>
      </w:pPr>
      <w:r>
        <w:rPr>
          <w:rFonts w:hint="eastAsia" w:cs="宋体"/>
          <w:color w:val="auto"/>
          <w:sz w:val="24"/>
          <w:szCs w:val="24"/>
          <w:highlight w:val="none"/>
        </w:rPr>
        <w:t>（二）</w:t>
      </w:r>
      <w:r>
        <w:rPr>
          <w:rFonts w:hint="eastAsia" w:ascii="宋体" w:hAnsi="宋体" w:eastAsia="宋体" w:cs="宋体"/>
          <w:color w:val="auto"/>
          <w:sz w:val="24"/>
          <w:szCs w:val="24"/>
          <w:highlight w:val="none"/>
          <w:lang w:val="en-US" w:eastAsia="zh-CN" w:bidi="ar-SA"/>
        </w:rPr>
        <w:t>谈判小组认为，某供应商的有效报价或者某些分项报价明显不合理或者低于成本，有可能影响工程质量和不能诚信履约的，应要求其在规定的期限内提供书面文件予以解释说明，并提交相关证明材料，否则，谈判小组可以取消该供应商的成交候选人资格，按顺序由排在后面的成交候选人递补，以此类推。</w:t>
      </w:r>
    </w:p>
    <w:p>
      <w:pPr>
        <w:wordWrap w:val="0"/>
        <w:spacing w:line="300" w:lineRule="auto"/>
        <w:rPr>
          <w:rFonts w:ascii="宋体" w:hAnsi="宋体"/>
          <w:color w:val="auto"/>
          <w:szCs w:val="21"/>
          <w:highlight w:val="none"/>
        </w:rPr>
      </w:pPr>
    </w:p>
    <w:p>
      <w:pPr>
        <w:pStyle w:val="7"/>
      </w:pPr>
    </w:p>
    <w:p>
      <w:pPr>
        <w:tabs>
          <w:tab w:val="left" w:pos="2757"/>
        </w:tabs>
        <w:rPr>
          <w:color w:val="auto"/>
          <w:highlight w:val="none"/>
        </w:rPr>
      </w:pPr>
      <w:bookmarkStart w:id="141" w:name="_Toc71365383"/>
      <w:bookmarkEnd w:id="141"/>
      <w:bookmarkStart w:id="142" w:name="_Toc71366061"/>
      <w:bookmarkEnd w:id="142"/>
    </w:p>
    <w:sectPr>
      <w:headerReference r:id="rId10" w:type="default"/>
      <w:footerReference r:id="rId11" w:type="default"/>
      <w:pgSz w:w="11906" w:h="16838"/>
      <w:pgMar w:top="1134" w:right="1134" w:bottom="1134" w:left="1134"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Ansi="Times New Roma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AFA8D"/>
    <w:multiLevelType w:val="singleLevel"/>
    <w:tmpl w:val="DABAFA8D"/>
    <w:lvl w:ilvl="0" w:tentative="0">
      <w:start w:val="6"/>
      <w:numFmt w:val="decimal"/>
      <w:suff w:val="nothing"/>
      <w:lvlText w:val="%1、"/>
      <w:lvlJc w:val="left"/>
    </w:lvl>
  </w:abstractNum>
  <w:abstractNum w:abstractNumId="1">
    <w:nsid w:val="1D90806D"/>
    <w:multiLevelType w:val="singleLevel"/>
    <w:tmpl w:val="1D90806D"/>
    <w:lvl w:ilvl="0" w:tentative="0">
      <w:start w:val="4"/>
      <w:numFmt w:val="chineseCounting"/>
      <w:suff w:val="nothing"/>
      <w:lvlText w:val="%1、"/>
      <w:lvlJc w:val="left"/>
      <w:rPr>
        <w:rFonts w:hint="eastAsia"/>
      </w:rPr>
    </w:lvl>
  </w:abstractNum>
  <w:abstractNum w:abstractNumId="2">
    <w:nsid w:val="4CB7FEBB"/>
    <w:multiLevelType w:val="singleLevel"/>
    <w:tmpl w:val="4CB7FEBB"/>
    <w:lvl w:ilvl="0" w:tentative="0">
      <w:start w:val="3"/>
      <w:numFmt w:val="chineseCounting"/>
      <w:suff w:val="space"/>
      <w:lvlText w:val="第%1章"/>
      <w:lvlJc w:val="left"/>
      <w:rPr>
        <w:rFonts w:hint="eastAsia"/>
      </w:rPr>
    </w:lvl>
  </w:abstractNum>
  <w:abstractNum w:abstractNumId="3">
    <w:nsid w:val="56814A4F"/>
    <w:multiLevelType w:val="multilevel"/>
    <w:tmpl w:val="56814A4F"/>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4">
    <w:nsid w:val="6366F35F"/>
    <w:multiLevelType w:val="singleLevel"/>
    <w:tmpl w:val="6366F35F"/>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NjNhMGE5ZDY3YmMxNWQ5NzRiYzE5MDk0ZjY1NjEifQ=="/>
  </w:docVars>
  <w:rsids>
    <w:rsidRoot w:val="00172A27"/>
    <w:rsid w:val="00001E2C"/>
    <w:rsid w:val="00002700"/>
    <w:rsid w:val="000171AB"/>
    <w:rsid w:val="00027DE5"/>
    <w:rsid w:val="00034E27"/>
    <w:rsid w:val="000350E1"/>
    <w:rsid w:val="00041B20"/>
    <w:rsid w:val="00053A4D"/>
    <w:rsid w:val="00062F0F"/>
    <w:rsid w:val="000822E2"/>
    <w:rsid w:val="00091AB8"/>
    <w:rsid w:val="000A0684"/>
    <w:rsid w:val="000A417F"/>
    <w:rsid w:val="000A4A52"/>
    <w:rsid w:val="000E29A9"/>
    <w:rsid w:val="000E62CE"/>
    <w:rsid w:val="000F6288"/>
    <w:rsid w:val="000F720E"/>
    <w:rsid w:val="0010547B"/>
    <w:rsid w:val="00106227"/>
    <w:rsid w:val="001303F7"/>
    <w:rsid w:val="0013753C"/>
    <w:rsid w:val="00141F1A"/>
    <w:rsid w:val="001505FE"/>
    <w:rsid w:val="00171CAD"/>
    <w:rsid w:val="00172A27"/>
    <w:rsid w:val="0017710C"/>
    <w:rsid w:val="00194D78"/>
    <w:rsid w:val="001B35D3"/>
    <w:rsid w:val="001C1633"/>
    <w:rsid w:val="001C5E0A"/>
    <w:rsid w:val="001D27E0"/>
    <w:rsid w:val="001D5766"/>
    <w:rsid w:val="001E1DD2"/>
    <w:rsid w:val="001E6AFC"/>
    <w:rsid w:val="00207533"/>
    <w:rsid w:val="002143EE"/>
    <w:rsid w:val="00220181"/>
    <w:rsid w:val="00224005"/>
    <w:rsid w:val="00231BC4"/>
    <w:rsid w:val="00247593"/>
    <w:rsid w:val="00265956"/>
    <w:rsid w:val="002851F3"/>
    <w:rsid w:val="002B4548"/>
    <w:rsid w:val="002D1AD9"/>
    <w:rsid w:val="002D4036"/>
    <w:rsid w:val="002E3F5B"/>
    <w:rsid w:val="002E67F7"/>
    <w:rsid w:val="002F274A"/>
    <w:rsid w:val="00315E58"/>
    <w:rsid w:val="00316A3C"/>
    <w:rsid w:val="003320B9"/>
    <w:rsid w:val="00332171"/>
    <w:rsid w:val="00344171"/>
    <w:rsid w:val="0034576C"/>
    <w:rsid w:val="00347106"/>
    <w:rsid w:val="00370AD0"/>
    <w:rsid w:val="00380F12"/>
    <w:rsid w:val="00390424"/>
    <w:rsid w:val="003F2EA2"/>
    <w:rsid w:val="003F651E"/>
    <w:rsid w:val="00400198"/>
    <w:rsid w:val="00400921"/>
    <w:rsid w:val="00404673"/>
    <w:rsid w:val="0042576C"/>
    <w:rsid w:val="004263C1"/>
    <w:rsid w:val="00433EFB"/>
    <w:rsid w:val="00443E2F"/>
    <w:rsid w:val="00470187"/>
    <w:rsid w:val="00475290"/>
    <w:rsid w:val="00492410"/>
    <w:rsid w:val="004B5A72"/>
    <w:rsid w:val="004C5719"/>
    <w:rsid w:val="004F07A2"/>
    <w:rsid w:val="004F3A48"/>
    <w:rsid w:val="004F78DE"/>
    <w:rsid w:val="00507725"/>
    <w:rsid w:val="0051447A"/>
    <w:rsid w:val="00531A4A"/>
    <w:rsid w:val="00533210"/>
    <w:rsid w:val="00546B6A"/>
    <w:rsid w:val="00562873"/>
    <w:rsid w:val="00562E23"/>
    <w:rsid w:val="00577729"/>
    <w:rsid w:val="00586970"/>
    <w:rsid w:val="00586A12"/>
    <w:rsid w:val="0059058B"/>
    <w:rsid w:val="005B09CE"/>
    <w:rsid w:val="005D035F"/>
    <w:rsid w:val="005D2438"/>
    <w:rsid w:val="005E3FF3"/>
    <w:rsid w:val="005E521B"/>
    <w:rsid w:val="00603E82"/>
    <w:rsid w:val="006053EE"/>
    <w:rsid w:val="006141AD"/>
    <w:rsid w:val="0062499F"/>
    <w:rsid w:val="0063429A"/>
    <w:rsid w:val="006524FE"/>
    <w:rsid w:val="00652C3D"/>
    <w:rsid w:val="00663890"/>
    <w:rsid w:val="00685907"/>
    <w:rsid w:val="006F0395"/>
    <w:rsid w:val="006F0547"/>
    <w:rsid w:val="006F4243"/>
    <w:rsid w:val="0070202B"/>
    <w:rsid w:val="00707BD9"/>
    <w:rsid w:val="00717295"/>
    <w:rsid w:val="007320AF"/>
    <w:rsid w:val="00744E71"/>
    <w:rsid w:val="0075683D"/>
    <w:rsid w:val="00762346"/>
    <w:rsid w:val="00772167"/>
    <w:rsid w:val="00780A82"/>
    <w:rsid w:val="00784967"/>
    <w:rsid w:val="0079071A"/>
    <w:rsid w:val="00796903"/>
    <w:rsid w:val="007976B2"/>
    <w:rsid w:val="007A7AC4"/>
    <w:rsid w:val="007C45DB"/>
    <w:rsid w:val="007C63CC"/>
    <w:rsid w:val="007D5BE5"/>
    <w:rsid w:val="007E1CC3"/>
    <w:rsid w:val="007E5F0E"/>
    <w:rsid w:val="007E6B3A"/>
    <w:rsid w:val="007F3D11"/>
    <w:rsid w:val="00801303"/>
    <w:rsid w:val="00817640"/>
    <w:rsid w:val="0082740E"/>
    <w:rsid w:val="008369DA"/>
    <w:rsid w:val="00844E10"/>
    <w:rsid w:val="00850BB1"/>
    <w:rsid w:val="0085674C"/>
    <w:rsid w:val="00872FA5"/>
    <w:rsid w:val="008854C6"/>
    <w:rsid w:val="00891C22"/>
    <w:rsid w:val="008B1621"/>
    <w:rsid w:val="008D59E6"/>
    <w:rsid w:val="008F430B"/>
    <w:rsid w:val="00901024"/>
    <w:rsid w:val="00903111"/>
    <w:rsid w:val="0093082F"/>
    <w:rsid w:val="00937F32"/>
    <w:rsid w:val="009666CD"/>
    <w:rsid w:val="009A7B1E"/>
    <w:rsid w:val="009E6009"/>
    <w:rsid w:val="009E6330"/>
    <w:rsid w:val="009F357E"/>
    <w:rsid w:val="009F5FEE"/>
    <w:rsid w:val="00A45F4E"/>
    <w:rsid w:val="00A821B2"/>
    <w:rsid w:val="00AB6D8C"/>
    <w:rsid w:val="00AC22BC"/>
    <w:rsid w:val="00AC5BB7"/>
    <w:rsid w:val="00B35F22"/>
    <w:rsid w:val="00B7604B"/>
    <w:rsid w:val="00B7682B"/>
    <w:rsid w:val="00B864E1"/>
    <w:rsid w:val="00B91F15"/>
    <w:rsid w:val="00B96DF5"/>
    <w:rsid w:val="00BC1057"/>
    <w:rsid w:val="00BC392C"/>
    <w:rsid w:val="00C030FA"/>
    <w:rsid w:val="00C20E21"/>
    <w:rsid w:val="00C2288D"/>
    <w:rsid w:val="00C35BFF"/>
    <w:rsid w:val="00C43050"/>
    <w:rsid w:val="00C519E9"/>
    <w:rsid w:val="00C5253B"/>
    <w:rsid w:val="00C60FB4"/>
    <w:rsid w:val="00C63C26"/>
    <w:rsid w:val="00C6687F"/>
    <w:rsid w:val="00C75749"/>
    <w:rsid w:val="00C86B03"/>
    <w:rsid w:val="00C970C6"/>
    <w:rsid w:val="00CA011C"/>
    <w:rsid w:val="00CB59F4"/>
    <w:rsid w:val="00CD5199"/>
    <w:rsid w:val="00CD57F7"/>
    <w:rsid w:val="00CE3028"/>
    <w:rsid w:val="00CE6CCD"/>
    <w:rsid w:val="00CF0D2C"/>
    <w:rsid w:val="00D045DD"/>
    <w:rsid w:val="00D247A6"/>
    <w:rsid w:val="00D249EA"/>
    <w:rsid w:val="00D673CE"/>
    <w:rsid w:val="00D94C9D"/>
    <w:rsid w:val="00DA4C4C"/>
    <w:rsid w:val="00DF14AF"/>
    <w:rsid w:val="00E221BF"/>
    <w:rsid w:val="00E266C8"/>
    <w:rsid w:val="00E459E3"/>
    <w:rsid w:val="00E52ABC"/>
    <w:rsid w:val="00E60C37"/>
    <w:rsid w:val="00E67A8A"/>
    <w:rsid w:val="00E80333"/>
    <w:rsid w:val="00ED1995"/>
    <w:rsid w:val="00ED3A9B"/>
    <w:rsid w:val="00EE37E5"/>
    <w:rsid w:val="00EE6875"/>
    <w:rsid w:val="00EF6FCF"/>
    <w:rsid w:val="00F12577"/>
    <w:rsid w:val="00F358D8"/>
    <w:rsid w:val="00F52CAA"/>
    <w:rsid w:val="00F66FBE"/>
    <w:rsid w:val="00F701F2"/>
    <w:rsid w:val="00F77F4E"/>
    <w:rsid w:val="00F977F9"/>
    <w:rsid w:val="00FA37CA"/>
    <w:rsid w:val="00FD31E8"/>
    <w:rsid w:val="01D07B9E"/>
    <w:rsid w:val="01DD5D6B"/>
    <w:rsid w:val="01F20634"/>
    <w:rsid w:val="02A86215"/>
    <w:rsid w:val="02D44561"/>
    <w:rsid w:val="02DC1A7B"/>
    <w:rsid w:val="030E5121"/>
    <w:rsid w:val="03364AD7"/>
    <w:rsid w:val="034A4940"/>
    <w:rsid w:val="036E2937"/>
    <w:rsid w:val="0379703E"/>
    <w:rsid w:val="03811CF2"/>
    <w:rsid w:val="038C11BF"/>
    <w:rsid w:val="03BA41DB"/>
    <w:rsid w:val="04D36E3A"/>
    <w:rsid w:val="05246996"/>
    <w:rsid w:val="05571F97"/>
    <w:rsid w:val="061A3713"/>
    <w:rsid w:val="069842A0"/>
    <w:rsid w:val="06A44F4B"/>
    <w:rsid w:val="06FF18C1"/>
    <w:rsid w:val="071A4CB0"/>
    <w:rsid w:val="072E1CCA"/>
    <w:rsid w:val="07643387"/>
    <w:rsid w:val="08544435"/>
    <w:rsid w:val="0855063A"/>
    <w:rsid w:val="087A414D"/>
    <w:rsid w:val="08E33653"/>
    <w:rsid w:val="0A032E28"/>
    <w:rsid w:val="0A09042E"/>
    <w:rsid w:val="0A5205E6"/>
    <w:rsid w:val="0AE07BC8"/>
    <w:rsid w:val="0AED3D82"/>
    <w:rsid w:val="0B3B0375"/>
    <w:rsid w:val="0B5617D0"/>
    <w:rsid w:val="0B57548D"/>
    <w:rsid w:val="0B614F75"/>
    <w:rsid w:val="0BDA1EE5"/>
    <w:rsid w:val="0C033703"/>
    <w:rsid w:val="0C0A22C0"/>
    <w:rsid w:val="0C410B0C"/>
    <w:rsid w:val="0CF67D0F"/>
    <w:rsid w:val="0D1004D9"/>
    <w:rsid w:val="0D702F15"/>
    <w:rsid w:val="0D9D3B46"/>
    <w:rsid w:val="0DE72ECF"/>
    <w:rsid w:val="0E26212F"/>
    <w:rsid w:val="0E727599"/>
    <w:rsid w:val="0EAB55BC"/>
    <w:rsid w:val="0EE8060E"/>
    <w:rsid w:val="0F17719A"/>
    <w:rsid w:val="0F58392F"/>
    <w:rsid w:val="0FD473DA"/>
    <w:rsid w:val="0FED1C75"/>
    <w:rsid w:val="100B05F1"/>
    <w:rsid w:val="10374F06"/>
    <w:rsid w:val="108260FD"/>
    <w:rsid w:val="10FA1EAC"/>
    <w:rsid w:val="11064EF6"/>
    <w:rsid w:val="11466CD7"/>
    <w:rsid w:val="11495B0F"/>
    <w:rsid w:val="11521CB9"/>
    <w:rsid w:val="117A5FE1"/>
    <w:rsid w:val="117B6038"/>
    <w:rsid w:val="11881E74"/>
    <w:rsid w:val="11A4260F"/>
    <w:rsid w:val="11AB064F"/>
    <w:rsid w:val="11B70AE7"/>
    <w:rsid w:val="11CB1D09"/>
    <w:rsid w:val="122C6E50"/>
    <w:rsid w:val="129A6A1E"/>
    <w:rsid w:val="129C078D"/>
    <w:rsid w:val="12B143EC"/>
    <w:rsid w:val="13531CEB"/>
    <w:rsid w:val="13C94267"/>
    <w:rsid w:val="13CE71AD"/>
    <w:rsid w:val="13FF370A"/>
    <w:rsid w:val="140776A0"/>
    <w:rsid w:val="14437F36"/>
    <w:rsid w:val="14CD2708"/>
    <w:rsid w:val="150945DC"/>
    <w:rsid w:val="15D471CA"/>
    <w:rsid w:val="167E3015"/>
    <w:rsid w:val="172113B1"/>
    <w:rsid w:val="174B0F87"/>
    <w:rsid w:val="177C0146"/>
    <w:rsid w:val="177F058C"/>
    <w:rsid w:val="17BC7CE2"/>
    <w:rsid w:val="190265D6"/>
    <w:rsid w:val="190343DD"/>
    <w:rsid w:val="191306C3"/>
    <w:rsid w:val="19541104"/>
    <w:rsid w:val="19641CFD"/>
    <w:rsid w:val="198A724D"/>
    <w:rsid w:val="19D92DC8"/>
    <w:rsid w:val="19DB0FBA"/>
    <w:rsid w:val="19F07E66"/>
    <w:rsid w:val="19FB4427"/>
    <w:rsid w:val="1A3C70F5"/>
    <w:rsid w:val="1A513802"/>
    <w:rsid w:val="1A5A43BE"/>
    <w:rsid w:val="1A841186"/>
    <w:rsid w:val="1A8A7701"/>
    <w:rsid w:val="1AAC6533"/>
    <w:rsid w:val="1B3809C7"/>
    <w:rsid w:val="1B5B2087"/>
    <w:rsid w:val="1B755D1F"/>
    <w:rsid w:val="1BA201ED"/>
    <w:rsid w:val="1BD1752A"/>
    <w:rsid w:val="1C027091"/>
    <w:rsid w:val="1C0E6229"/>
    <w:rsid w:val="1C253311"/>
    <w:rsid w:val="1CE67B96"/>
    <w:rsid w:val="1D784A21"/>
    <w:rsid w:val="1D824530"/>
    <w:rsid w:val="1DA0698F"/>
    <w:rsid w:val="1E064F4B"/>
    <w:rsid w:val="1E164DC8"/>
    <w:rsid w:val="1E2A05EB"/>
    <w:rsid w:val="1E656DBF"/>
    <w:rsid w:val="1EA730F0"/>
    <w:rsid w:val="1F126D3F"/>
    <w:rsid w:val="1F213AC8"/>
    <w:rsid w:val="1F2F7661"/>
    <w:rsid w:val="1F69564E"/>
    <w:rsid w:val="1F854242"/>
    <w:rsid w:val="1FC90AE3"/>
    <w:rsid w:val="1FE85C28"/>
    <w:rsid w:val="1FF06356"/>
    <w:rsid w:val="20465BAD"/>
    <w:rsid w:val="20467A02"/>
    <w:rsid w:val="206930B0"/>
    <w:rsid w:val="208B78C6"/>
    <w:rsid w:val="20A078BA"/>
    <w:rsid w:val="20B4552C"/>
    <w:rsid w:val="20F04656"/>
    <w:rsid w:val="218A6608"/>
    <w:rsid w:val="219C3017"/>
    <w:rsid w:val="21EE30E8"/>
    <w:rsid w:val="222A0BDB"/>
    <w:rsid w:val="22914464"/>
    <w:rsid w:val="22A45076"/>
    <w:rsid w:val="22F664C5"/>
    <w:rsid w:val="23521CBD"/>
    <w:rsid w:val="23CC268A"/>
    <w:rsid w:val="23E40D67"/>
    <w:rsid w:val="24133D60"/>
    <w:rsid w:val="24163A8F"/>
    <w:rsid w:val="243729FB"/>
    <w:rsid w:val="246C2B13"/>
    <w:rsid w:val="250669AA"/>
    <w:rsid w:val="250953C3"/>
    <w:rsid w:val="25D971B4"/>
    <w:rsid w:val="26105DEF"/>
    <w:rsid w:val="26133841"/>
    <w:rsid w:val="26482304"/>
    <w:rsid w:val="265D64FB"/>
    <w:rsid w:val="26702AF9"/>
    <w:rsid w:val="26814249"/>
    <w:rsid w:val="26971108"/>
    <w:rsid w:val="26A07441"/>
    <w:rsid w:val="26AB5D85"/>
    <w:rsid w:val="26BD03F6"/>
    <w:rsid w:val="26E56F2E"/>
    <w:rsid w:val="272B2516"/>
    <w:rsid w:val="27500E14"/>
    <w:rsid w:val="280074F4"/>
    <w:rsid w:val="2801758C"/>
    <w:rsid w:val="28121EFC"/>
    <w:rsid w:val="28326A82"/>
    <w:rsid w:val="28C10B35"/>
    <w:rsid w:val="28FE1EB4"/>
    <w:rsid w:val="29470B43"/>
    <w:rsid w:val="29551789"/>
    <w:rsid w:val="29626771"/>
    <w:rsid w:val="2A0A2F1C"/>
    <w:rsid w:val="2A1D1446"/>
    <w:rsid w:val="2A2B418E"/>
    <w:rsid w:val="2A40173C"/>
    <w:rsid w:val="2A4813F6"/>
    <w:rsid w:val="2AEA0FEE"/>
    <w:rsid w:val="2B634CCB"/>
    <w:rsid w:val="2BCD0BCE"/>
    <w:rsid w:val="2C132B15"/>
    <w:rsid w:val="2C302494"/>
    <w:rsid w:val="2C5F29F2"/>
    <w:rsid w:val="2C6C224F"/>
    <w:rsid w:val="2CDB4F90"/>
    <w:rsid w:val="2CE36573"/>
    <w:rsid w:val="2D422BB9"/>
    <w:rsid w:val="2D473EC2"/>
    <w:rsid w:val="2D650748"/>
    <w:rsid w:val="2D7918CE"/>
    <w:rsid w:val="2E0B5B8B"/>
    <w:rsid w:val="2E645B95"/>
    <w:rsid w:val="2E704221"/>
    <w:rsid w:val="2EAB5FD7"/>
    <w:rsid w:val="2EBA5744"/>
    <w:rsid w:val="2EC25FBF"/>
    <w:rsid w:val="2EC85381"/>
    <w:rsid w:val="2ED95805"/>
    <w:rsid w:val="2F50602F"/>
    <w:rsid w:val="2F571D23"/>
    <w:rsid w:val="2F5928D3"/>
    <w:rsid w:val="2F65128E"/>
    <w:rsid w:val="2F6E5A82"/>
    <w:rsid w:val="2F8C0F2F"/>
    <w:rsid w:val="2FA34546"/>
    <w:rsid w:val="300A408E"/>
    <w:rsid w:val="303346AD"/>
    <w:rsid w:val="30664AEB"/>
    <w:rsid w:val="30A139F1"/>
    <w:rsid w:val="30BD2B9F"/>
    <w:rsid w:val="30FA4276"/>
    <w:rsid w:val="31031022"/>
    <w:rsid w:val="31190629"/>
    <w:rsid w:val="31573301"/>
    <w:rsid w:val="31611C23"/>
    <w:rsid w:val="31C80AF5"/>
    <w:rsid w:val="32AC6B6A"/>
    <w:rsid w:val="3322229C"/>
    <w:rsid w:val="333B791A"/>
    <w:rsid w:val="335A2134"/>
    <w:rsid w:val="339030F3"/>
    <w:rsid w:val="33B95A18"/>
    <w:rsid w:val="33D36529"/>
    <w:rsid w:val="33E85698"/>
    <w:rsid w:val="33E9476B"/>
    <w:rsid w:val="341A0F3A"/>
    <w:rsid w:val="34265AB8"/>
    <w:rsid w:val="34307F7E"/>
    <w:rsid w:val="345A6FD0"/>
    <w:rsid w:val="349D513D"/>
    <w:rsid w:val="35782FFE"/>
    <w:rsid w:val="35B8402D"/>
    <w:rsid w:val="35F945D0"/>
    <w:rsid w:val="36495D10"/>
    <w:rsid w:val="3653733F"/>
    <w:rsid w:val="3661055D"/>
    <w:rsid w:val="36DF0939"/>
    <w:rsid w:val="36EB7F3F"/>
    <w:rsid w:val="378A0F24"/>
    <w:rsid w:val="37B373D5"/>
    <w:rsid w:val="37C079A5"/>
    <w:rsid w:val="381265D8"/>
    <w:rsid w:val="384416C0"/>
    <w:rsid w:val="386A1849"/>
    <w:rsid w:val="387F039A"/>
    <w:rsid w:val="38863C96"/>
    <w:rsid w:val="391C2A53"/>
    <w:rsid w:val="396A3053"/>
    <w:rsid w:val="396B7FCB"/>
    <w:rsid w:val="396F43AC"/>
    <w:rsid w:val="397925DA"/>
    <w:rsid w:val="39830641"/>
    <w:rsid w:val="39A8781A"/>
    <w:rsid w:val="39E24FC0"/>
    <w:rsid w:val="3A107C74"/>
    <w:rsid w:val="3A1F1E3C"/>
    <w:rsid w:val="3A5B234F"/>
    <w:rsid w:val="3AB161F0"/>
    <w:rsid w:val="3B112207"/>
    <w:rsid w:val="3B15391D"/>
    <w:rsid w:val="3B513174"/>
    <w:rsid w:val="3B6D154D"/>
    <w:rsid w:val="3BBE2205"/>
    <w:rsid w:val="3BBF361D"/>
    <w:rsid w:val="3BCA3FBF"/>
    <w:rsid w:val="3BD33CF3"/>
    <w:rsid w:val="3BE304F7"/>
    <w:rsid w:val="3C0D1400"/>
    <w:rsid w:val="3C32287B"/>
    <w:rsid w:val="3CBD650E"/>
    <w:rsid w:val="3CF2496A"/>
    <w:rsid w:val="3D071D20"/>
    <w:rsid w:val="3D42552F"/>
    <w:rsid w:val="3D501C4A"/>
    <w:rsid w:val="3D6169AD"/>
    <w:rsid w:val="3E3A06F4"/>
    <w:rsid w:val="3E4F69C6"/>
    <w:rsid w:val="3EA769D3"/>
    <w:rsid w:val="3EAF53EB"/>
    <w:rsid w:val="3EBF0EA0"/>
    <w:rsid w:val="3EE06230"/>
    <w:rsid w:val="3F622A54"/>
    <w:rsid w:val="3F6C15F7"/>
    <w:rsid w:val="3F965287"/>
    <w:rsid w:val="3FAA2F1E"/>
    <w:rsid w:val="403B580E"/>
    <w:rsid w:val="409177F8"/>
    <w:rsid w:val="40B80CEB"/>
    <w:rsid w:val="40D07738"/>
    <w:rsid w:val="40DB24E4"/>
    <w:rsid w:val="41127A7D"/>
    <w:rsid w:val="411323D3"/>
    <w:rsid w:val="415F428F"/>
    <w:rsid w:val="416B6487"/>
    <w:rsid w:val="41F16A05"/>
    <w:rsid w:val="4209049B"/>
    <w:rsid w:val="42860BEC"/>
    <w:rsid w:val="429D43C8"/>
    <w:rsid w:val="429F77BE"/>
    <w:rsid w:val="42A64E83"/>
    <w:rsid w:val="42AC1824"/>
    <w:rsid w:val="430F2676"/>
    <w:rsid w:val="432A241B"/>
    <w:rsid w:val="43C464C2"/>
    <w:rsid w:val="43CE4050"/>
    <w:rsid w:val="43F121F2"/>
    <w:rsid w:val="43FE77D7"/>
    <w:rsid w:val="44046DD7"/>
    <w:rsid w:val="443071E0"/>
    <w:rsid w:val="445D42AD"/>
    <w:rsid w:val="44E34649"/>
    <w:rsid w:val="44E428D9"/>
    <w:rsid w:val="453402A2"/>
    <w:rsid w:val="454B7BA4"/>
    <w:rsid w:val="45593D6B"/>
    <w:rsid w:val="45D066BD"/>
    <w:rsid w:val="460C5AFB"/>
    <w:rsid w:val="460D5887"/>
    <w:rsid w:val="461E35B1"/>
    <w:rsid w:val="462930BB"/>
    <w:rsid w:val="462A0691"/>
    <w:rsid w:val="464C4C3A"/>
    <w:rsid w:val="468C0EA6"/>
    <w:rsid w:val="46A649B7"/>
    <w:rsid w:val="47036B1B"/>
    <w:rsid w:val="471449FA"/>
    <w:rsid w:val="47194487"/>
    <w:rsid w:val="47255E5C"/>
    <w:rsid w:val="474E3B67"/>
    <w:rsid w:val="47945CBB"/>
    <w:rsid w:val="47BD144F"/>
    <w:rsid w:val="489A3F24"/>
    <w:rsid w:val="48A7019D"/>
    <w:rsid w:val="48AD74F4"/>
    <w:rsid w:val="48C44A50"/>
    <w:rsid w:val="49363385"/>
    <w:rsid w:val="49446A92"/>
    <w:rsid w:val="494B14C2"/>
    <w:rsid w:val="49722803"/>
    <w:rsid w:val="4A0A1B5F"/>
    <w:rsid w:val="4A5045E1"/>
    <w:rsid w:val="4A6971D8"/>
    <w:rsid w:val="4A7B1ED5"/>
    <w:rsid w:val="4A971D5E"/>
    <w:rsid w:val="4AB44EEE"/>
    <w:rsid w:val="4B030D86"/>
    <w:rsid w:val="4B085888"/>
    <w:rsid w:val="4B4C5BDA"/>
    <w:rsid w:val="4BE83EAB"/>
    <w:rsid w:val="4C587A51"/>
    <w:rsid w:val="4CA5048A"/>
    <w:rsid w:val="4D8350CD"/>
    <w:rsid w:val="4DB93D25"/>
    <w:rsid w:val="4E895803"/>
    <w:rsid w:val="4E965A7A"/>
    <w:rsid w:val="4E9A7F73"/>
    <w:rsid w:val="4F144212"/>
    <w:rsid w:val="4F1C0477"/>
    <w:rsid w:val="4F211DDD"/>
    <w:rsid w:val="4F307598"/>
    <w:rsid w:val="4F7149E5"/>
    <w:rsid w:val="4FB31B2D"/>
    <w:rsid w:val="4FE43024"/>
    <w:rsid w:val="506866FF"/>
    <w:rsid w:val="507109B9"/>
    <w:rsid w:val="50761B8F"/>
    <w:rsid w:val="50DF1C2A"/>
    <w:rsid w:val="51123E24"/>
    <w:rsid w:val="515B3FF7"/>
    <w:rsid w:val="51733650"/>
    <w:rsid w:val="51B45A68"/>
    <w:rsid w:val="51D03F6B"/>
    <w:rsid w:val="51EC3F05"/>
    <w:rsid w:val="5221680B"/>
    <w:rsid w:val="5225717C"/>
    <w:rsid w:val="526320D9"/>
    <w:rsid w:val="52A41883"/>
    <w:rsid w:val="52D2426D"/>
    <w:rsid w:val="53B340BA"/>
    <w:rsid w:val="53C133C5"/>
    <w:rsid w:val="54246B75"/>
    <w:rsid w:val="5484561B"/>
    <w:rsid w:val="54CE7277"/>
    <w:rsid w:val="55596F59"/>
    <w:rsid w:val="556C6F1F"/>
    <w:rsid w:val="55E82DB8"/>
    <w:rsid w:val="56111356"/>
    <w:rsid w:val="567B7553"/>
    <w:rsid w:val="56E83180"/>
    <w:rsid w:val="57472724"/>
    <w:rsid w:val="574F356E"/>
    <w:rsid w:val="5784368A"/>
    <w:rsid w:val="57E77304"/>
    <w:rsid w:val="57ED710E"/>
    <w:rsid w:val="583E20EB"/>
    <w:rsid w:val="58474DB3"/>
    <w:rsid w:val="58836D75"/>
    <w:rsid w:val="588F529F"/>
    <w:rsid w:val="58EE4A7D"/>
    <w:rsid w:val="596C32FE"/>
    <w:rsid w:val="59EC6604"/>
    <w:rsid w:val="5A4D6EE0"/>
    <w:rsid w:val="5A535809"/>
    <w:rsid w:val="5A977557"/>
    <w:rsid w:val="5AD003A3"/>
    <w:rsid w:val="5B3F4C37"/>
    <w:rsid w:val="5B5E7AD1"/>
    <w:rsid w:val="5B780F87"/>
    <w:rsid w:val="5B7C3383"/>
    <w:rsid w:val="5BA47969"/>
    <w:rsid w:val="5BAF4501"/>
    <w:rsid w:val="5C040630"/>
    <w:rsid w:val="5C311F56"/>
    <w:rsid w:val="5C4949A4"/>
    <w:rsid w:val="5C6113A7"/>
    <w:rsid w:val="5C686132"/>
    <w:rsid w:val="5CB151E7"/>
    <w:rsid w:val="5CC9469F"/>
    <w:rsid w:val="5CCE0C07"/>
    <w:rsid w:val="5CE72655"/>
    <w:rsid w:val="5D122CF3"/>
    <w:rsid w:val="5D1A6514"/>
    <w:rsid w:val="5D9B232B"/>
    <w:rsid w:val="5DB54A28"/>
    <w:rsid w:val="5DBB5E61"/>
    <w:rsid w:val="5DFD4EDB"/>
    <w:rsid w:val="5E8D6E3B"/>
    <w:rsid w:val="5EF12758"/>
    <w:rsid w:val="5F00633E"/>
    <w:rsid w:val="5FAB66B9"/>
    <w:rsid w:val="5FAD797A"/>
    <w:rsid w:val="5FBC3E78"/>
    <w:rsid w:val="5FCA3FEB"/>
    <w:rsid w:val="5FFB3328"/>
    <w:rsid w:val="609D6EB8"/>
    <w:rsid w:val="60B206B6"/>
    <w:rsid w:val="60C43A8E"/>
    <w:rsid w:val="610925C8"/>
    <w:rsid w:val="610D574B"/>
    <w:rsid w:val="61360815"/>
    <w:rsid w:val="614441F4"/>
    <w:rsid w:val="61A36102"/>
    <w:rsid w:val="61B966D9"/>
    <w:rsid w:val="61CE0749"/>
    <w:rsid w:val="61D0560F"/>
    <w:rsid w:val="6224555F"/>
    <w:rsid w:val="62612934"/>
    <w:rsid w:val="62814B1C"/>
    <w:rsid w:val="62973596"/>
    <w:rsid w:val="62C46F66"/>
    <w:rsid w:val="63455822"/>
    <w:rsid w:val="63536234"/>
    <w:rsid w:val="636278E6"/>
    <w:rsid w:val="636C779B"/>
    <w:rsid w:val="63737458"/>
    <w:rsid w:val="63A624F1"/>
    <w:rsid w:val="63CB3BFC"/>
    <w:rsid w:val="647C175B"/>
    <w:rsid w:val="64A10613"/>
    <w:rsid w:val="64E83C1C"/>
    <w:rsid w:val="650A75D2"/>
    <w:rsid w:val="655D5C3F"/>
    <w:rsid w:val="65753DD7"/>
    <w:rsid w:val="65B31A18"/>
    <w:rsid w:val="660E1648"/>
    <w:rsid w:val="663A2C3D"/>
    <w:rsid w:val="669E0853"/>
    <w:rsid w:val="66ED1880"/>
    <w:rsid w:val="67D312E3"/>
    <w:rsid w:val="68071BA7"/>
    <w:rsid w:val="68913C71"/>
    <w:rsid w:val="6909309B"/>
    <w:rsid w:val="69532BA3"/>
    <w:rsid w:val="696D68E7"/>
    <w:rsid w:val="69760F47"/>
    <w:rsid w:val="699835B8"/>
    <w:rsid w:val="6A0612C5"/>
    <w:rsid w:val="6A541BFB"/>
    <w:rsid w:val="6A924086"/>
    <w:rsid w:val="6AF72A3C"/>
    <w:rsid w:val="6B164A3A"/>
    <w:rsid w:val="6B3C16AA"/>
    <w:rsid w:val="6B494568"/>
    <w:rsid w:val="6B4D5394"/>
    <w:rsid w:val="6BB05D27"/>
    <w:rsid w:val="6BBD539F"/>
    <w:rsid w:val="6BCA171F"/>
    <w:rsid w:val="6BF05E62"/>
    <w:rsid w:val="6C64118D"/>
    <w:rsid w:val="6CBD7275"/>
    <w:rsid w:val="6CC25F03"/>
    <w:rsid w:val="6CE06E06"/>
    <w:rsid w:val="6CEE48B4"/>
    <w:rsid w:val="6D495C5A"/>
    <w:rsid w:val="6D782562"/>
    <w:rsid w:val="6DCF6CFE"/>
    <w:rsid w:val="6E1D5D89"/>
    <w:rsid w:val="6E744487"/>
    <w:rsid w:val="6E7A28AA"/>
    <w:rsid w:val="6EA23B48"/>
    <w:rsid w:val="6F795309"/>
    <w:rsid w:val="6F8352D8"/>
    <w:rsid w:val="6FBE477F"/>
    <w:rsid w:val="6FC154E2"/>
    <w:rsid w:val="701E5AF7"/>
    <w:rsid w:val="703D11CA"/>
    <w:rsid w:val="70D9295E"/>
    <w:rsid w:val="712223FA"/>
    <w:rsid w:val="713251D1"/>
    <w:rsid w:val="71521822"/>
    <w:rsid w:val="718E3770"/>
    <w:rsid w:val="720800C4"/>
    <w:rsid w:val="72A12A1A"/>
    <w:rsid w:val="72EE6247"/>
    <w:rsid w:val="731536B9"/>
    <w:rsid w:val="732E7062"/>
    <w:rsid w:val="735A5289"/>
    <w:rsid w:val="73746CAE"/>
    <w:rsid w:val="73A4483D"/>
    <w:rsid w:val="73CA1B85"/>
    <w:rsid w:val="73F02D35"/>
    <w:rsid w:val="74116AEC"/>
    <w:rsid w:val="74145513"/>
    <w:rsid w:val="74292079"/>
    <w:rsid w:val="746B30C1"/>
    <w:rsid w:val="748157CD"/>
    <w:rsid w:val="7482565E"/>
    <w:rsid w:val="74A97587"/>
    <w:rsid w:val="74B71445"/>
    <w:rsid w:val="74CB36E3"/>
    <w:rsid w:val="75493695"/>
    <w:rsid w:val="757C79FB"/>
    <w:rsid w:val="75A637D7"/>
    <w:rsid w:val="760578D6"/>
    <w:rsid w:val="76561EB2"/>
    <w:rsid w:val="76A058F9"/>
    <w:rsid w:val="76C06B17"/>
    <w:rsid w:val="76CE3B21"/>
    <w:rsid w:val="76E4761D"/>
    <w:rsid w:val="76F809DE"/>
    <w:rsid w:val="779E1382"/>
    <w:rsid w:val="781A6FB5"/>
    <w:rsid w:val="788C70A2"/>
    <w:rsid w:val="78906BEE"/>
    <w:rsid w:val="79134885"/>
    <w:rsid w:val="7934545C"/>
    <w:rsid w:val="797029C3"/>
    <w:rsid w:val="79FC5A2F"/>
    <w:rsid w:val="7A072CED"/>
    <w:rsid w:val="7A513E12"/>
    <w:rsid w:val="7A5B456C"/>
    <w:rsid w:val="7A5C7447"/>
    <w:rsid w:val="7AB56222"/>
    <w:rsid w:val="7ADB5996"/>
    <w:rsid w:val="7AF370C1"/>
    <w:rsid w:val="7AF4653C"/>
    <w:rsid w:val="7AFF2BC0"/>
    <w:rsid w:val="7B0E12AB"/>
    <w:rsid w:val="7B3121DA"/>
    <w:rsid w:val="7B6E5D6D"/>
    <w:rsid w:val="7B9E0AFE"/>
    <w:rsid w:val="7BE672C7"/>
    <w:rsid w:val="7BF03B2B"/>
    <w:rsid w:val="7C335A8C"/>
    <w:rsid w:val="7D056EC5"/>
    <w:rsid w:val="7D106C8C"/>
    <w:rsid w:val="7D3138AA"/>
    <w:rsid w:val="7DB14BAF"/>
    <w:rsid w:val="7DBD077C"/>
    <w:rsid w:val="7DC479E7"/>
    <w:rsid w:val="7DE444E8"/>
    <w:rsid w:val="7DFD0391"/>
    <w:rsid w:val="7E1C6174"/>
    <w:rsid w:val="7E322F7A"/>
    <w:rsid w:val="7E49615E"/>
    <w:rsid w:val="7FEB03A3"/>
    <w:rsid w:val="7FEB7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nhideWhenUsed="0" w:uiPriority="6" w:semiHidden="0" w:name="heading 4" w:locked="1"/>
    <w:lsdException w:qFormat="1" w:uiPriority="1"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locked/>
    <w:uiPriority w:val="9"/>
    <w:pPr>
      <w:keepNext/>
      <w:keepLines/>
      <w:spacing w:before="260" w:after="260" w:line="416" w:lineRule="auto"/>
      <w:outlineLvl w:val="2"/>
    </w:pPr>
    <w:rPr>
      <w:b/>
      <w:bCs/>
      <w:sz w:val="32"/>
      <w:szCs w:val="32"/>
    </w:rPr>
  </w:style>
  <w:style w:type="paragraph" w:styleId="5">
    <w:name w:val="heading 4"/>
    <w:basedOn w:val="1"/>
    <w:next w:val="1"/>
    <w:qFormat/>
    <w:locked/>
    <w:uiPriority w:val="6"/>
    <w:pPr>
      <w:keepNext/>
      <w:keepLines/>
      <w:tabs>
        <w:tab w:val="left" w:pos="2880"/>
      </w:tabs>
      <w:spacing w:before="280" w:after="290" w:line="376" w:lineRule="atLeast"/>
      <w:ind w:left="2880" w:hanging="360"/>
      <w:jc w:val="left"/>
      <w:outlineLvl w:val="3"/>
    </w:pPr>
    <w:rPr>
      <w:rFonts w:ascii="Arial" w:hAnsi="Arial" w:eastAsia="黑体" w:cs="Arial"/>
      <w:b/>
      <w:sz w:val="28"/>
      <w:szCs w:val="20"/>
    </w:rPr>
  </w:style>
  <w:style w:type="paragraph" w:styleId="6">
    <w:name w:val="heading 5"/>
    <w:basedOn w:val="1"/>
    <w:next w:val="1"/>
    <w:unhideWhenUsed/>
    <w:qFormat/>
    <w:locked/>
    <w:uiPriority w:val="1"/>
    <w:pPr>
      <w:jc w:val="center"/>
      <w:outlineLvl w:val="4"/>
    </w:pPr>
    <w:rPr>
      <w:rFonts w:hint="eastAsia"/>
      <w:b/>
      <w:sz w:val="32"/>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99"/>
    <w:pPr>
      <w:spacing w:line="360" w:lineRule="atLeast"/>
      <w:ind w:firstLine="420"/>
      <w:textAlignment w:val="baseline"/>
    </w:pPr>
    <w:rPr>
      <w:szCs w:val="20"/>
    </w:rPr>
  </w:style>
  <w:style w:type="paragraph" w:styleId="8">
    <w:name w:val="annotation text"/>
    <w:basedOn w:val="1"/>
    <w:link w:val="29"/>
    <w:qFormat/>
    <w:uiPriority w:val="99"/>
  </w:style>
  <w:style w:type="paragraph" w:styleId="9">
    <w:name w:val="Body Text"/>
    <w:basedOn w:val="1"/>
    <w:link w:val="31"/>
    <w:qFormat/>
    <w:uiPriority w:val="99"/>
    <w:pPr>
      <w:widowControl w:val="0"/>
      <w:adjustRightInd/>
      <w:snapToGrid/>
      <w:spacing w:after="0"/>
      <w:jc w:val="center"/>
    </w:pPr>
    <w:rPr>
      <w:rFonts w:ascii="Times New Roman" w:hAnsi="Times New Roman" w:eastAsia="宋体"/>
      <w:sz w:val="52"/>
      <w:szCs w:val="20"/>
    </w:rPr>
  </w:style>
  <w:style w:type="paragraph" w:styleId="10">
    <w:name w:val="Body Text Indent"/>
    <w:basedOn w:val="1"/>
    <w:qFormat/>
    <w:locked/>
    <w:uiPriority w:val="0"/>
    <w:pPr>
      <w:spacing w:line="200" w:lineRule="exact"/>
      <w:ind w:firstLine="301"/>
    </w:pPr>
    <w:rPr>
      <w:rFonts w:ascii="宋体" w:hAnsi="Courier New"/>
      <w:spacing w:val="-4"/>
      <w:sz w:val="18"/>
      <w:szCs w:val="20"/>
    </w:rPr>
  </w:style>
  <w:style w:type="paragraph" w:styleId="11">
    <w:name w:val="index 4"/>
    <w:basedOn w:val="1"/>
    <w:next w:val="1"/>
    <w:qFormat/>
    <w:locked/>
    <w:uiPriority w:val="99"/>
    <w:pPr>
      <w:ind w:left="600" w:leftChars="600"/>
    </w:pPr>
    <w:rPr>
      <w:szCs w:val="24"/>
    </w:rPr>
  </w:style>
  <w:style w:type="paragraph" w:styleId="12">
    <w:name w:val="Plain Text"/>
    <w:basedOn w:val="1"/>
    <w:link w:val="36"/>
    <w:qFormat/>
    <w:uiPriority w:val="99"/>
    <w:pPr>
      <w:widowControl w:val="0"/>
      <w:adjustRightInd/>
      <w:snapToGrid/>
      <w:spacing w:after="0"/>
      <w:jc w:val="both"/>
    </w:pPr>
    <w:rPr>
      <w:rFonts w:ascii="宋体" w:hAnsi="Times New Roman" w:eastAsia="宋体"/>
      <w:sz w:val="21"/>
      <w:szCs w:val="20"/>
    </w:rPr>
  </w:style>
  <w:style w:type="paragraph" w:styleId="13">
    <w:name w:val="Balloon Text"/>
    <w:basedOn w:val="1"/>
    <w:link w:val="33"/>
    <w:semiHidden/>
    <w:qFormat/>
    <w:uiPriority w:val="99"/>
    <w:rPr>
      <w:sz w:val="18"/>
      <w:szCs w:val="18"/>
    </w:rPr>
  </w:style>
  <w:style w:type="paragraph" w:styleId="14">
    <w:name w:val="footer"/>
    <w:basedOn w:val="1"/>
    <w:link w:val="34"/>
    <w:qFormat/>
    <w:uiPriority w:val="99"/>
    <w:pPr>
      <w:tabs>
        <w:tab w:val="center" w:pos="4153"/>
        <w:tab w:val="right" w:pos="8306"/>
      </w:tabs>
    </w:pPr>
    <w:rPr>
      <w:sz w:val="18"/>
      <w:szCs w:val="18"/>
    </w:rPr>
  </w:style>
  <w:style w:type="paragraph" w:styleId="15">
    <w:name w:val="header"/>
    <w:basedOn w:val="1"/>
    <w:link w:val="35"/>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locked/>
    <w:uiPriority w:val="39"/>
  </w:style>
  <w:style w:type="paragraph" w:styleId="17">
    <w:name w:val="toc 2"/>
    <w:basedOn w:val="1"/>
    <w:next w:val="1"/>
    <w:unhideWhenUsed/>
    <w:qFormat/>
    <w:locked/>
    <w:uiPriority w:val="39"/>
    <w:pPr>
      <w:tabs>
        <w:tab w:val="right" w:leader="dot" w:pos="8296"/>
      </w:tabs>
      <w:ind w:left="420" w:leftChars="200"/>
    </w:pPr>
  </w:style>
  <w:style w:type="paragraph" w:styleId="18">
    <w:name w:val="Normal (Web)"/>
    <w:basedOn w:val="1"/>
    <w:next w:val="1"/>
    <w:qFormat/>
    <w:uiPriority w:val="99"/>
    <w:pPr>
      <w:adjustRightInd/>
      <w:snapToGrid/>
      <w:spacing w:before="280" w:after="280"/>
      <w:jc w:val="both"/>
    </w:pPr>
    <w:rPr>
      <w:rFonts w:ascii="宋体" w:hAnsi="Times New Roman" w:eastAsia="宋体"/>
      <w:sz w:val="24"/>
      <w:szCs w:val="20"/>
    </w:rPr>
  </w:style>
  <w:style w:type="paragraph" w:styleId="19">
    <w:name w:val="annotation subject"/>
    <w:basedOn w:val="8"/>
    <w:next w:val="8"/>
    <w:link w:val="30"/>
    <w:semiHidden/>
    <w:qFormat/>
    <w:uiPriority w:val="99"/>
    <w:rPr>
      <w:b/>
      <w:bCs/>
    </w:rPr>
  </w:style>
  <w:style w:type="paragraph" w:styleId="20">
    <w:name w:val="Body Text First Indent 2"/>
    <w:basedOn w:val="10"/>
    <w:qFormat/>
    <w:locked/>
    <w:uiPriority w:val="0"/>
    <w:pPr>
      <w:spacing w:before="100" w:beforeAutospacing="1" w:after="120"/>
      <w:ind w:left="420" w:leftChars="200" w:firstLine="420" w:firstLineChars="200"/>
    </w:pPr>
    <w:rPr>
      <w:rFonts w:ascii="Times New Roman" w:hAnsi="Times New Roman"/>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22"/>
    <w:rPr>
      <w:b/>
    </w:rPr>
  </w:style>
  <w:style w:type="character" w:styleId="25">
    <w:name w:val="FollowedHyperlink"/>
    <w:basedOn w:val="23"/>
    <w:semiHidden/>
    <w:qFormat/>
    <w:uiPriority w:val="99"/>
    <w:rPr>
      <w:rFonts w:ascii="微软雅黑" w:hAnsi="微软雅黑" w:eastAsia="微软雅黑" w:cs="微软雅黑"/>
      <w:color w:val="02396F"/>
      <w:u w:val="single"/>
    </w:rPr>
  </w:style>
  <w:style w:type="character" w:styleId="26">
    <w:name w:val="Hyperlink"/>
    <w:basedOn w:val="23"/>
    <w:semiHidden/>
    <w:qFormat/>
    <w:uiPriority w:val="99"/>
    <w:rPr>
      <w:rFonts w:ascii="微软雅黑" w:hAnsi="微软雅黑" w:eastAsia="微软雅黑" w:cs="微软雅黑"/>
      <w:color w:val="02396F"/>
      <w:u w:val="single"/>
    </w:rPr>
  </w:style>
  <w:style w:type="character" w:styleId="27">
    <w:name w:val="annotation reference"/>
    <w:basedOn w:val="23"/>
    <w:semiHidden/>
    <w:qFormat/>
    <w:uiPriority w:val="99"/>
    <w:rPr>
      <w:rFonts w:cs="Times New Roman"/>
      <w:sz w:val="21"/>
      <w:szCs w:val="21"/>
    </w:rPr>
  </w:style>
  <w:style w:type="paragraph" w:customStyle="1" w:styleId="28">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29">
    <w:name w:val="批注文字 字符"/>
    <w:basedOn w:val="23"/>
    <w:link w:val="8"/>
    <w:semiHidden/>
    <w:qFormat/>
    <w:locked/>
    <w:uiPriority w:val="99"/>
    <w:rPr>
      <w:rFonts w:ascii="Tahoma" w:hAnsi="Tahoma" w:eastAsia="微软雅黑" w:cs="Times New Roman"/>
      <w:kern w:val="0"/>
      <w:sz w:val="22"/>
    </w:rPr>
  </w:style>
  <w:style w:type="character" w:customStyle="1" w:styleId="30">
    <w:name w:val="批注主题 字符"/>
    <w:basedOn w:val="29"/>
    <w:link w:val="19"/>
    <w:semiHidden/>
    <w:qFormat/>
    <w:locked/>
    <w:uiPriority w:val="99"/>
    <w:rPr>
      <w:rFonts w:ascii="Tahoma" w:hAnsi="Tahoma" w:eastAsia="微软雅黑" w:cs="Times New Roman"/>
      <w:b/>
      <w:bCs/>
      <w:kern w:val="0"/>
      <w:sz w:val="22"/>
    </w:rPr>
  </w:style>
  <w:style w:type="character" w:customStyle="1" w:styleId="31">
    <w:name w:val="正文文本 字符"/>
    <w:basedOn w:val="23"/>
    <w:link w:val="9"/>
    <w:semiHidden/>
    <w:qFormat/>
    <w:locked/>
    <w:uiPriority w:val="99"/>
    <w:rPr>
      <w:rFonts w:ascii="Tahoma" w:hAnsi="Tahoma" w:eastAsia="微软雅黑" w:cs="Times New Roman"/>
      <w:kern w:val="0"/>
      <w:sz w:val="22"/>
    </w:rPr>
  </w:style>
  <w:style w:type="character" w:customStyle="1" w:styleId="32">
    <w:name w:val="Plain Text Char"/>
    <w:basedOn w:val="23"/>
    <w:semiHidden/>
    <w:qFormat/>
    <w:locked/>
    <w:uiPriority w:val="99"/>
    <w:rPr>
      <w:rFonts w:ascii="宋体" w:hAnsi="Courier New" w:cs="Courier New"/>
      <w:kern w:val="0"/>
      <w:sz w:val="21"/>
      <w:szCs w:val="21"/>
    </w:rPr>
  </w:style>
  <w:style w:type="character" w:customStyle="1" w:styleId="33">
    <w:name w:val="批注框文本 字符"/>
    <w:basedOn w:val="23"/>
    <w:link w:val="13"/>
    <w:semiHidden/>
    <w:qFormat/>
    <w:locked/>
    <w:uiPriority w:val="99"/>
    <w:rPr>
      <w:rFonts w:ascii="Tahoma" w:hAnsi="Tahoma" w:eastAsia="微软雅黑" w:cs="Times New Roman"/>
      <w:kern w:val="0"/>
      <w:sz w:val="2"/>
    </w:rPr>
  </w:style>
  <w:style w:type="character" w:customStyle="1" w:styleId="34">
    <w:name w:val="页脚 字符"/>
    <w:basedOn w:val="23"/>
    <w:link w:val="14"/>
    <w:semiHidden/>
    <w:qFormat/>
    <w:locked/>
    <w:uiPriority w:val="99"/>
    <w:rPr>
      <w:rFonts w:ascii="Tahoma" w:hAnsi="Tahoma" w:eastAsia="微软雅黑" w:cs="Times New Roman"/>
      <w:kern w:val="0"/>
      <w:sz w:val="18"/>
      <w:szCs w:val="18"/>
    </w:rPr>
  </w:style>
  <w:style w:type="character" w:customStyle="1" w:styleId="35">
    <w:name w:val="页眉 字符"/>
    <w:basedOn w:val="23"/>
    <w:link w:val="15"/>
    <w:semiHidden/>
    <w:qFormat/>
    <w:locked/>
    <w:uiPriority w:val="99"/>
    <w:rPr>
      <w:rFonts w:ascii="Tahoma" w:hAnsi="Tahoma" w:eastAsia="微软雅黑" w:cs="Times New Roman"/>
      <w:kern w:val="0"/>
      <w:sz w:val="18"/>
      <w:szCs w:val="18"/>
    </w:rPr>
  </w:style>
  <w:style w:type="character" w:customStyle="1" w:styleId="36">
    <w:name w:val="纯文本 字符"/>
    <w:link w:val="12"/>
    <w:qFormat/>
    <w:locked/>
    <w:uiPriority w:val="99"/>
    <w:rPr>
      <w:rFonts w:ascii="宋体" w:eastAsia="宋体"/>
      <w:sz w:val="21"/>
      <w:lang w:val="en-US" w:eastAsia="zh-CN"/>
    </w:rPr>
  </w:style>
  <w:style w:type="character" w:customStyle="1" w:styleId="37">
    <w:name w:val="gjfg"/>
    <w:basedOn w:val="23"/>
    <w:qFormat/>
    <w:uiPriority w:val="99"/>
    <w:rPr>
      <w:rFonts w:cs="Times New Roman"/>
    </w:rPr>
  </w:style>
  <w:style w:type="character" w:customStyle="1" w:styleId="38">
    <w:name w:val="cfdate"/>
    <w:basedOn w:val="23"/>
    <w:qFormat/>
    <w:uiPriority w:val="99"/>
    <w:rPr>
      <w:rFonts w:cs="Times New Roman"/>
      <w:color w:val="333333"/>
      <w:sz w:val="18"/>
      <w:szCs w:val="18"/>
    </w:rPr>
  </w:style>
  <w:style w:type="character" w:customStyle="1" w:styleId="39">
    <w:name w:val="displayarti"/>
    <w:basedOn w:val="23"/>
    <w:qFormat/>
    <w:uiPriority w:val="99"/>
    <w:rPr>
      <w:rFonts w:cs="Times New Roman"/>
      <w:color w:val="FFFFFF"/>
      <w:shd w:val="clear" w:color="auto" w:fill="A00000"/>
    </w:rPr>
  </w:style>
  <w:style w:type="character" w:customStyle="1" w:styleId="40">
    <w:name w:val="redfilenumber"/>
    <w:basedOn w:val="23"/>
    <w:qFormat/>
    <w:uiPriority w:val="99"/>
    <w:rPr>
      <w:rFonts w:cs="Times New Roman"/>
      <w:color w:val="BA2636"/>
      <w:sz w:val="18"/>
      <w:szCs w:val="18"/>
    </w:rPr>
  </w:style>
  <w:style w:type="character" w:customStyle="1" w:styleId="41">
    <w:name w:val="qxdate"/>
    <w:basedOn w:val="23"/>
    <w:qFormat/>
    <w:uiPriority w:val="99"/>
    <w:rPr>
      <w:rFonts w:cs="Times New Roman"/>
      <w:color w:val="333333"/>
      <w:sz w:val="18"/>
      <w:szCs w:val="18"/>
    </w:rPr>
  </w:style>
  <w:style w:type="character" w:customStyle="1" w:styleId="42">
    <w:name w:val="redfilefwwh"/>
    <w:basedOn w:val="23"/>
    <w:qFormat/>
    <w:uiPriority w:val="99"/>
    <w:rPr>
      <w:rFonts w:cs="Times New Roman"/>
      <w:color w:val="BA2636"/>
      <w:sz w:val="18"/>
      <w:szCs w:val="18"/>
    </w:rPr>
  </w:style>
  <w:style w:type="paragraph" w:customStyle="1" w:styleId="43">
    <w:name w:val="修订1"/>
    <w:hidden/>
    <w:qFormat/>
    <w:uiPriority w:val="99"/>
    <w:rPr>
      <w:rFonts w:ascii="Tahoma" w:hAnsi="Tahoma" w:eastAsia="微软雅黑" w:cs="Times New Roman"/>
      <w:sz w:val="22"/>
      <w:szCs w:val="22"/>
      <w:lang w:val="en-US" w:eastAsia="zh-CN" w:bidi="ar-SA"/>
    </w:rPr>
  </w:style>
  <w:style w:type="character" w:customStyle="1" w:styleId="44">
    <w:name w:val="font31"/>
    <w:basedOn w:val="23"/>
    <w:qFormat/>
    <w:uiPriority w:val="0"/>
    <w:rPr>
      <w:rFonts w:hint="eastAsia" w:ascii="宋体" w:hAnsi="宋体" w:eastAsia="宋体" w:cs="宋体"/>
      <w:color w:val="000000"/>
      <w:sz w:val="22"/>
      <w:szCs w:val="22"/>
      <w:u w:val="none"/>
    </w:rPr>
  </w:style>
  <w:style w:type="character" w:customStyle="1" w:styleId="45">
    <w:name w:val="font01"/>
    <w:basedOn w:val="23"/>
    <w:qFormat/>
    <w:uiPriority w:val="0"/>
    <w:rPr>
      <w:rFonts w:hint="eastAsia" w:ascii="宋体" w:hAnsi="宋体" w:eastAsia="宋体" w:cs="宋体"/>
      <w:color w:val="000000"/>
      <w:sz w:val="22"/>
      <w:szCs w:val="22"/>
      <w:u w:val="none"/>
    </w:rPr>
  </w:style>
  <w:style w:type="character" w:customStyle="1" w:styleId="46">
    <w:name w:val="NormalCharacter"/>
    <w:semiHidden/>
    <w:qFormat/>
    <w:uiPriority w:val="0"/>
    <w:rPr>
      <w:kern w:val="2"/>
      <w:sz w:val="21"/>
      <w:szCs w:val="24"/>
      <w:lang w:val="en-US" w:eastAsia="zh-CN" w:bidi="ar-SA"/>
    </w:rPr>
  </w:style>
  <w:style w:type="paragraph" w:customStyle="1" w:styleId="47">
    <w:name w:val="TOC5"/>
    <w:basedOn w:val="1"/>
    <w:next w:val="1"/>
    <w:qFormat/>
    <w:uiPriority w:val="0"/>
    <w:pPr>
      <w:ind w:left="1680" w:leftChars="800"/>
      <w:jc w:val="both"/>
      <w:textAlignment w:val="baseline"/>
    </w:pPr>
    <w:rPr>
      <w:rFonts w:ascii="Calibri" w:hAnsi="Calibri"/>
      <w:sz w:val="24"/>
    </w:rPr>
  </w:style>
  <w:style w:type="paragraph" w:customStyle="1" w:styleId="48">
    <w:name w:val="PlainText"/>
    <w:basedOn w:val="1"/>
    <w:next w:val="49"/>
    <w:qFormat/>
    <w:uiPriority w:val="0"/>
    <w:pPr>
      <w:jc w:val="both"/>
      <w:textAlignment w:val="baseline"/>
    </w:pPr>
    <w:rPr>
      <w:rFonts w:ascii="宋体" w:hAnsi="Courier New"/>
      <w:sz w:val="21"/>
      <w:szCs w:val="21"/>
    </w:rPr>
  </w:style>
  <w:style w:type="paragraph" w:customStyle="1" w:styleId="49">
    <w:name w:val="Heading4"/>
    <w:basedOn w:val="1"/>
    <w:next w:val="1"/>
    <w:qFormat/>
    <w:uiPriority w:val="0"/>
    <w:pPr>
      <w:keepNext/>
      <w:keepLines/>
      <w:spacing w:line="360" w:lineRule="auto"/>
      <w:jc w:val="both"/>
      <w:textAlignment w:val="baseline"/>
    </w:pPr>
    <w:rPr>
      <w:rFonts w:ascii="Arial" w:hAnsi="Arial"/>
      <w:b/>
      <w:kern w:val="2"/>
      <w:sz w:val="28"/>
      <w:szCs w:val="20"/>
    </w:rPr>
  </w:style>
  <w:style w:type="character" w:customStyle="1" w:styleId="50">
    <w:name w:val="font61"/>
    <w:basedOn w:val="23"/>
    <w:qFormat/>
    <w:uiPriority w:val="0"/>
    <w:rPr>
      <w:rFonts w:ascii="Calibri" w:hAnsi="Calibri" w:cs="Calibri"/>
      <w:color w:val="000000"/>
      <w:sz w:val="20"/>
      <w:szCs w:val="20"/>
      <w:u w:val="none"/>
    </w:rPr>
  </w:style>
  <w:style w:type="character" w:customStyle="1" w:styleId="51">
    <w:name w:val="font51"/>
    <w:basedOn w:val="23"/>
    <w:qFormat/>
    <w:uiPriority w:val="0"/>
    <w:rPr>
      <w:rFonts w:hint="eastAsia" w:ascii="宋体" w:hAnsi="宋体" w:eastAsia="宋体" w:cs="宋体"/>
      <w:color w:val="000000"/>
      <w:sz w:val="20"/>
      <w:szCs w:val="20"/>
      <w:u w:val="none"/>
    </w:rPr>
  </w:style>
  <w:style w:type="character" w:customStyle="1" w:styleId="52">
    <w:name w:val="font41"/>
    <w:basedOn w:val="23"/>
    <w:qFormat/>
    <w:uiPriority w:val="0"/>
    <w:rPr>
      <w:rFonts w:hint="eastAsia" w:ascii="宋体" w:hAnsi="宋体" w:eastAsia="宋体" w:cs="宋体"/>
      <w:color w:val="FF0000"/>
      <w:sz w:val="18"/>
      <w:szCs w:val="18"/>
      <w:u w:val="none"/>
    </w:rPr>
  </w:style>
  <w:style w:type="character" w:customStyle="1" w:styleId="53">
    <w:name w:val="font21"/>
    <w:basedOn w:val="23"/>
    <w:qFormat/>
    <w:uiPriority w:val="0"/>
    <w:rPr>
      <w:rFonts w:hint="eastAsia" w:ascii="宋体" w:hAnsi="宋体" w:eastAsia="宋体" w:cs="宋体"/>
      <w:color w:val="000000"/>
      <w:sz w:val="20"/>
      <w:szCs w:val="20"/>
      <w:u w:val="none"/>
    </w:rPr>
  </w:style>
  <w:style w:type="character" w:customStyle="1" w:styleId="54">
    <w:name w:val="font71"/>
    <w:basedOn w:val="23"/>
    <w:qFormat/>
    <w:uiPriority w:val="0"/>
    <w:rPr>
      <w:rFonts w:hint="eastAsia" w:ascii="宋体" w:hAnsi="宋体" w:eastAsia="宋体" w:cs="宋体"/>
      <w:color w:val="FF0000"/>
      <w:sz w:val="18"/>
      <w:szCs w:val="18"/>
      <w:u w:val="none"/>
    </w:rPr>
  </w:style>
  <w:style w:type="paragraph" w:customStyle="1" w:styleId="55">
    <w:name w:val="Table Paragraph"/>
    <w:qFormat/>
    <w:uiPriority w:val="1"/>
    <w:pPr>
      <w:widowControl w:val="0"/>
    </w:pPr>
    <w:rPr>
      <w:rFonts w:ascii="Calibri" w:hAnsi="Calibri" w:eastAsia="宋体" w:cs="Times New Roman"/>
      <w:sz w:val="22"/>
      <w:szCs w:val="22"/>
      <w:lang w:val="en-US" w:eastAsia="en-US" w:bidi="ar-SA"/>
    </w:rPr>
  </w:style>
  <w:style w:type="paragraph" w:customStyle="1" w:styleId="56">
    <w:name w:val="List Paragraph1"/>
    <w:basedOn w:val="1"/>
    <w:qFormat/>
    <w:uiPriority w:val="0"/>
    <w:pPr>
      <w:ind w:firstLine="420" w:firstLineChars="200"/>
    </w:pPr>
    <w:rPr>
      <w:szCs w:val="21"/>
    </w:rPr>
  </w:style>
  <w:style w:type="paragraph" w:customStyle="1" w:styleId="57">
    <w:name w:val="彩色列表1"/>
    <w:basedOn w:val="1"/>
    <w:qFormat/>
    <w:uiPriority w:val="99"/>
    <w:pPr>
      <w:ind w:firstLine="420" w:firstLineChars="200"/>
    </w:pPr>
    <w:rPr>
      <w:szCs w:val="24"/>
    </w:rPr>
  </w:style>
  <w:style w:type="paragraph" w:customStyle="1" w:styleId="58">
    <w:name w:val="Body text|1"/>
    <w:basedOn w:val="1"/>
    <w:qFormat/>
    <w:uiPriority w:val="99"/>
    <w:pPr>
      <w:spacing w:line="408" w:lineRule="auto"/>
      <w:ind w:firstLine="400"/>
    </w:pPr>
    <w:rPr>
      <w:rFonts w:ascii="宋体" w:hAnsi="宋体" w:cs="宋体"/>
      <w:sz w:val="26"/>
      <w:szCs w:val="2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11802</Words>
  <Characters>12979</Characters>
  <Lines>230</Lines>
  <Paragraphs>65</Paragraphs>
  <TotalTime>11</TotalTime>
  <ScaleCrop>false</ScaleCrop>
  <LinksUpToDate>false</LinksUpToDate>
  <CharactersWithSpaces>13224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2024-09-10T03:38:00Z</dcterms:created>
  <dc:creator>教头</dc:creator>
  <cp:lastModifiedBy>自治县中医医院</cp:lastModifiedBy>
  <cp:lastPrinted>2025-12-09T03:35:00Z</cp:lastPrinted>
  <dcterms:modified xsi:type="dcterms:W3CDTF">2025-12-16T08:33:53Z</dcterms:modified>
  <dc:title>广西天柱建设管理有限公司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40672EE2E1404DEEAF71F8FBE3C44320_13</vt:lpwstr>
  </property>
  <property fmtid="{D5CDD505-2E9C-101B-9397-08002B2CF9AE}" pid="4" name="KSOTemplateDocerSaveRecord">
    <vt:lpwstr>eyJoZGlkIjoiZmU4Y2ZjZTJmYTVmYWQyNGYxODJmMzhhNGNiZGRkZDQiLCJ1c2VySWQiOiI3NDI3NzM4MzEifQ==</vt:lpwstr>
  </property>
</Properties>
</file>