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27305</wp:posOffset>
                </wp:positionV>
                <wp:extent cx="5944235" cy="8255"/>
                <wp:effectExtent l="0" t="13970" r="14605" b="23495"/>
                <wp:wrapNone/>
                <wp:docPr id="2"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flip:y;margin-left:6.75pt;margin-top:2.15pt;height:0.65pt;width:468.05pt;z-index:251661312;mso-width-relative:page;mso-height-relative:page;" filled="f" stroked="t" coordsize="21600,21600" o:gfxdata="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7h&#10;eXvVAAAABgEAAA8AAAAAAAAAAQAgAAAAIgAAAGRycy9kb3ducmV2LnhtbFBLAQIUABQAAAAIAIdO&#10;4kCHyPVk7QEAAOsDAAAOAAAAAAAAAAEAIAAAACQBAABkcnMvZTJvRG9jLnhtbFBLBQYAAAAABgAG&#10;AFkBAACDBQAAAAA=&#10;">
                <v:fill on="f" focussize="0,0"/>
                <v:stroke weight="2.25pt" color="#000000" joinstyle="round"/>
                <v:imagedata o:title=""/>
                <o:lock v:ext="edit" aspectratio="f"/>
              </v:line>
            </w:pict>
          </mc:Fallback>
        </mc:AlternateContent>
      </w: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jc w:val="center"/>
        <w:rPr>
          <w:rFonts w:hint="eastAsia" w:ascii="宋体" w:hAnsi="宋体" w:eastAsia="宋体" w:cs="宋体"/>
          <w:color w:val="auto"/>
          <w:sz w:val="90"/>
          <w:szCs w:val="90"/>
          <w:highlight w:val="none"/>
          <w:lang w:eastAsia="zh-CN"/>
        </w:rPr>
      </w:pPr>
      <w:r>
        <w:rPr>
          <w:rFonts w:hint="eastAsia" w:ascii="宋体" w:hAnsi="宋体" w:eastAsia="宋体" w:cs="宋体"/>
          <w:color w:val="auto"/>
          <w:sz w:val="90"/>
          <w:szCs w:val="90"/>
          <w:highlight w:val="none"/>
        </w:rPr>
        <w:t>竞争性谈判采购文件</w:t>
      </w:r>
    </w:p>
    <w:p>
      <w:pPr>
        <w:rPr>
          <w:rFonts w:ascii="宋体" w:hAnsi="宋体" w:eastAsia="宋体" w:cs="宋体"/>
          <w:color w:val="auto"/>
          <w:sz w:val="52"/>
          <w:highlight w:val="none"/>
        </w:rPr>
      </w:pPr>
    </w:p>
    <w:p>
      <w:pPr>
        <w:pStyle w:val="5"/>
        <w:rPr>
          <w:rFonts w:ascii="宋体" w:hAnsi="宋体" w:eastAsia="宋体" w:cs="宋体"/>
          <w:color w:val="auto"/>
          <w:highlight w:val="none"/>
        </w:rPr>
      </w:pPr>
    </w:p>
    <w:p>
      <w:pPr>
        <w:rPr>
          <w:rFonts w:ascii="宋体" w:hAnsi="宋体" w:eastAsia="宋体" w:cs="宋体"/>
          <w:color w:val="auto"/>
          <w:sz w:val="32"/>
          <w:highlight w:val="none"/>
        </w:rPr>
      </w:pPr>
    </w:p>
    <w:p>
      <w:pPr>
        <w:spacing w:line="480" w:lineRule="auto"/>
        <w:ind w:right="268" w:rightChars="122"/>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single"/>
          <w:lang w:eastAsia="zh-CN"/>
        </w:rPr>
        <w:t>隆林各族自治县中医医院中医四诊仪设备采购项目</w:t>
      </w:r>
    </w:p>
    <w:p>
      <w:pPr>
        <w:spacing w:line="480" w:lineRule="auto"/>
        <w:ind w:right="-609" w:rightChars="-277" w:firstLine="2100" w:firstLineChars="700"/>
        <w:jc w:val="both"/>
        <w:rPr>
          <w:rFonts w:hint="eastAsia" w:ascii="宋体" w:hAnsi="宋体" w:eastAsia="宋体" w:cs="宋体"/>
          <w:b/>
          <w:color w:val="auto"/>
          <w:sz w:val="30"/>
          <w:szCs w:val="30"/>
          <w:highlight w:val="none"/>
          <w:u w:val="single"/>
          <w:lang w:val="en-US" w:eastAsia="zh-CN"/>
        </w:rPr>
      </w:pPr>
      <w:r>
        <w:rPr>
          <w:rFonts w:hint="eastAsia"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u w:val="single"/>
          <w:lang w:val="en-US" w:eastAsia="zh-CN"/>
        </w:rPr>
        <w:t xml:space="preserve">LLXZYYY20250044 </w:t>
      </w:r>
    </w:p>
    <w:p>
      <w:pPr>
        <w:pStyle w:val="16"/>
        <w:rPr>
          <w:rFonts w:hint="eastAsia" w:ascii="宋体" w:hAnsi="宋体" w:eastAsia="宋体" w:cs="宋体"/>
          <w:b/>
          <w:color w:val="auto"/>
          <w:sz w:val="30"/>
          <w:szCs w:val="30"/>
          <w:highlight w:val="none"/>
          <w:u w:val="single"/>
          <w:lang w:val="en-US" w:eastAsia="zh-CN"/>
        </w:rPr>
      </w:pPr>
    </w:p>
    <w:p>
      <w:pPr>
        <w:rPr>
          <w:rFonts w:hint="eastAsia" w:ascii="宋体" w:hAnsi="宋体" w:eastAsia="宋体" w:cs="宋体"/>
          <w:b/>
          <w:color w:val="auto"/>
          <w:sz w:val="30"/>
          <w:szCs w:val="30"/>
          <w:highlight w:val="none"/>
          <w:u w:val="single"/>
          <w:lang w:val="en-US" w:eastAsia="zh-CN"/>
        </w:rPr>
      </w:pPr>
    </w:p>
    <w:p>
      <w:pPr>
        <w:pStyle w:val="16"/>
        <w:rPr>
          <w:rFonts w:hint="default"/>
          <w:lang w:val="en-US" w:eastAsia="zh-CN"/>
        </w:rPr>
      </w:pPr>
    </w:p>
    <w:p>
      <w:pPr>
        <w:spacing w:line="400" w:lineRule="exact"/>
        <w:rPr>
          <w:rFonts w:ascii="宋体" w:hAnsi="宋体" w:eastAsia="宋体" w:cs="宋体"/>
          <w:color w:val="auto"/>
          <w:sz w:val="32"/>
          <w:highlight w:val="none"/>
        </w:rPr>
      </w:pPr>
    </w:p>
    <w:p>
      <w:pPr>
        <w:pStyle w:val="2"/>
        <w:ind w:firstLine="0"/>
        <w:rPr>
          <w:rFonts w:ascii="宋体" w:hAnsi="宋体" w:eastAsia="宋体" w:cs="宋体"/>
          <w:color w:val="auto"/>
          <w:highlight w:val="none"/>
        </w:rPr>
      </w:pPr>
    </w:p>
    <w:p>
      <w:pPr>
        <w:pStyle w:val="2"/>
        <w:ind w:firstLine="0"/>
        <w:rPr>
          <w:rFonts w:ascii="宋体" w:hAnsi="宋体" w:eastAsia="宋体" w:cs="宋体"/>
          <w:color w:val="auto"/>
          <w:highlight w:val="none"/>
        </w:rPr>
      </w:pPr>
    </w:p>
    <w:p>
      <w:pPr>
        <w:jc w:val="center"/>
        <w:rPr>
          <w:rFonts w:ascii="宋体" w:hAnsi="宋体" w:eastAsia="宋体" w:cs="宋体"/>
          <w:color w:val="auto"/>
          <w:sz w:val="3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158750</wp:posOffset>
                </wp:positionV>
                <wp:extent cx="5896610" cy="3175"/>
                <wp:effectExtent l="0" t="13970" r="1270" b="28575"/>
                <wp:wrapNone/>
                <wp:docPr id="1" name="直线 3"/>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12.5pt;height:0.25pt;width:464.3pt;z-index:251660288;mso-width-relative:page;mso-height-relative:page;" filled="f" stroked="t" coordsize="21600,21600" o:gfxdata="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NS4i1wAA&#10;AAkBAAAPAAAAAAAAAAEAIAAAACIAAABkcnMvZG93bnJldi54bWxQSwECFAAUAAAACACHTuJAtyKt&#10;S+YBAADhAwAADgAAAAAAAAABACAAAAAmAQAAZHJzL2Uyb0RvYy54bWxQSwUGAAAAAAYABgBZAQAA&#10;fgUAAAAA&#10;">
                <v:fill on="f" focussize="0,0"/>
                <v:stroke weight="2.25pt" color="#000000" joinstyle="round"/>
                <v:imagedata o:title=""/>
                <o:lock v:ext="edit" aspectratio="f"/>
              </v:line>
            </w:pict>
          </mc:Fallback>
        </mc:AlternateContent>
      </w:r>
    </w:p>
    <w:p>
      <w:pPr>
        <w:ind w:firstLine="1600" w:firstLineChars="500"/>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 xml:space="preserve">采购单位： </w:t>
      </w:r>
      <w:r>
        <w:rPr>
          <w:rFonts w:hint="eastAsia" w:ascii="宋体" w:hAnsi="宋体" w:eastAsia="宋体" w:cs="宋体"/>
          <w:b/>
          <w:color w:val="auto"/>
          <w:sz w:val="32"/>
          <w:highlight w:val="none"/>
          <w:lang w:eastAsia="zh-CN"/>
        </w:rPr>
        <w:t>隆林各族自治县中医医院</w:t>
      </w:r>
    </w:p>
    <w:p>
      <w:pPr>
        <w:spacing w:line="600" w:lineRule="exact"/>
        <w:ind w:firstLine="3520" w:firstLineChars="1100"/>
        <w:rPr>
          <w:rFonts w:ascii="宋体" w:hAnsi="宋体" w:eastAsia="宋体" w:cs="宋体"/>
          <w:b/>
          <w:color w:val="auto"/>
          <w:sz w:val="32"/>
          <w:highlight w:val="none"/>
        </w:rPr>
      </w:pPr>
      <w:r>
        <w:rPr>
          <w:rFonts w:hint="eastAsia" w:ascii="宋体" w:hAnsi="宋体" w:eastAsia="宋体" w:cs="宋体"/>
          <w:b/>
          <w:color w:val="auto"/>
          <w:sz w:val="32"/>
          <w:highlight w:val="none"/>
        </w:rPr>
        <w:t>202</w:t>
      </w:r>
      <w:r>
        <w:rPr>
          <w:rFonts w:hint="eastAsia" w:ascii="宋体" w:hAnsi="宋体" w:eastAsia="宋体" w:cs="宋体"/>
          <w:b/>
          <w:color w:val="auto"/>
          <w:sz w:val="32"/>
          <w:highlight w:val="none"/>
          <w:lang w:val="en-US" w:eastAsia="zh-CN"/>
        </w:rPr>
        <w:t>5</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lang w:val="en-US" w:eastAsia="zh-CN"/>
        </w:rPr>
        <w:t>12</w:t>
      </w:r>
      <w:r>
        <w:rPr>
          <w:rFonts w:hint="eastAsia" w:ascii="宋体" w:hAnsi="宋体" w:eastAsia="宋体" w:cs="宋体"/>
          <w:b/>
          <w:color w:val="auto"/>
          <w:sz w:val="32"/>
          <w:highlight w:val="none"/>
        </w:rPr>
        <w:t>月</w:t>
      </w:r>
    </w:p>
    <w:p>
      <w:pPr>
        <w:spacing w:line="600" w:lineRule="exact"/>
        <w:ind w:firstLine="3040"/>
        <w:rPr>
          <w:rFonts w:ascii="宋体" w:hAnsi="宋体" w:eastAsia="宋体" w:cs="宋体"/>
          <w:color w:val="auto"/>
          <w:highlight w:val="none"/>
        </w:rPr>
        <w:sectPr>
          <w:headerReference r:id="rId6" w:type="first"/>
          <w:headerReference r:id="rId4" w:type="default"/>
          <w:footerReference r:id="rId7" w:type="default"/>
          <w:headerReference r:id="rId5" w:type="even"/>
          <w:footerReference r:id="rId8" w:type="even"/>
          <w:pgSz w:w="11906" w:h="16838"/>
          <w:pgMar w:top="1418" w:right="1418" w:bottom="1418" w:left="1418" w:header="851" w:footer="992" w:gutter="0"/>
          <w:pgNumType w:start="1"/>
          <w:cols w:space="720" w:num="1"/>
          <w:titlePg/>
          <w:docGrid w:type="linesAndChars" w:linePitch="312" w:charSpace="0"/>
        </w:sectPr>
      </w:pPr>
    </w:p>
    <w:p>
      <w:pPr>
        <w:jc w:val="center"/>
        <w:rPr>
          <w:rFonts w:ascii="宋体" w:hAnsi="宋体" w:eastAsia="宋体" w:cs="宋体"/>
          <w:b/>
          <w:bCs/>
          <w:color w:val="auto"/>
          <w:sz w:val="32"/>
          <w:szCs w:val="32"/>
          <w:highlight w:val="none"/>
        </w:rPr>
      </w:pPr>
    </w:p>
    <w:p>
      <w:pPr>
        <w:spacing w:line="360" w:lineRule="auto"/>
        <w:jc w:val="center"/>
        <w:outlineLvl w:val="0"/>
        <w:rPr>
          <w:rFonts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outlineLvl w:val="0"/>
        <w:rPr>
          <w:rFonts w:ascii="宋体" w:hAnsi="宋体"/>
          <w:b/>
          <w:color w:val="auto"/>
          <w:sz w:val="44"/>
          <w:szCs w:val="44"/>
          <w:highlight w:val="none"/>
        </w:rPr>
      </w:pP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rFonts w:ascii="宋体" w:hAnsi="宋体"/>
          <w:b/>
          <w:color w:val="auto"/>
          <w:sz w:val="28"/>
          <w:szCs w:val="28"/>
          <w:highlight w:val="none"/>
        </w:rPr>
        <w:fldChar w:fldCharType="begin"/>
      </w:r>
      <w:r>
        <w:rPr>
          <w:rFonts w:ascii="宋体" w:hAnsi="宋体"/>
          <w:b/>
          <w:color w:val="auto"/>
          <w:sz w:val="28"/>
          <w:szCs w:val="28"/>
          <w:highlight w:val="none"/>
        </w:rPr>
        <w:instrText xml:space="preserve"> </w:instrText>
      </w:r>
      <w:r>
        <w:rPr>
          <w:rFonts w:hint="eastAsia" w:ascii="宋体" w:hAnsi="宋体"/>
          <w:b/>
          <w:color w:val="auto"/>
          <w:sz w:val="28"/>
          <w:szCs w:val="28"/>
          <w:highlight w:val="none"/>
        </w:rPr>
        <w:instrText xml:space="preserve">TOC \o "1-3" \h \z \u</w:instrText>
      </w:r>
      <w:r>
        <w:rPr>
          <w:rFonts w:ascii="宋体" w:hAnsi="宋体"/>
          <w:b/>
          <w:color w:val="auto"/>
          <w:sz w:val="28"/>
          <w:szCs w:val="28"/>
          <w:highlight w:val="none"/>
        </w:rPr>
        <w:instrText xml:space="preserve"> </w:instrText>
      </w:r>
      <w:r>
        <w:rPr>
          <w:rFonts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"_Toc35611510" </w:instrText>
      </w:r>
      <w:r>
        <w:rPr>
          <w:color w:val="auto"/>
          <w:highlight w:val="none"/>
        </w:rPr>
        <w:fldChar w:fldCharType="separate"/>
      </w:r>
      <w:r>
        <w:rPr>
          <w:rStyle w:val="26"/>
          <w:rFonts w:hint="eastAsia"/>
          <w:color w:val="auto"/>
          <w:sz w:val="28"/>
          <w:szCs w:val="28"/>
          <w:highlight w:val="none"/>
        </w:rPr>
        <w:t>第一章</w:t>
      </w:r>
      <w:r>
        <w:rPr>
          <w:rStyle w:val="26"/>
          <w:color w:val="auto"/>
          <w:sz w:val="28"/>
          <w:szCs w:val="28"/>
          <w:highlight w:val="none"/>
        </w:rPr>
        <w:t xml:space="preserve"> </w:t>
      </w:r>
      <w:r>
        <w:rPr>
          <w:rStyle w:val="26"/>
          <w:rFonts w:hint="eastAsia"/>
          <w:color w:val="auto"/>
          <w:sz w:val="28"/>
          <w:szCs w:val="28"/>
          <w:highlight w:val="none"/>
        </w:rPr>
        <w:t>竞争性谈判公告</w:t>
      </w:r>
      <w:r>
        <w:rPr>
          <w:rFonts w:hint="eastAsia"/>
          <w:color w:val="auto"/>
          <w:sz w:val="28"/>
          <w:szCs w:val="28"/>
          <w:highlight w:val="none"/>
          <w:lang w:val="en-US" w:eastAsia="zh-CN"/>
        </w:rPr>
        <w:t>.</w:t>
      </w:r>
      <w:r>
        <w:rPr>
          <w:color w:val="auto"/>
          <w:sz w:val="28"/>
          <w:szCs w:val="28"/>
          <w:highlight w:val="none"/>
        </w:rPr>
        <w:fldChar w:fldCharType="end"/>
      </w:r>
      <w:r>
        <w:rPr>
          <w:rFonts w:hint="eastAsia"/>
          <w:color w:val="auto"/>
          <w:sz w:val="28"/>
          <w:szCs w:val="28"/>
          <w:highlight w:val="none"/>
          <w:lang w:val="en-US" w:eastAsia="zh-CN"/>
        </w:rPr>
        <w:t>..........................................................1</w:t>
      </w:r>
    </w:p>
    <w:p>
      <w:pPr>
        <w:pStyle w:val="17"/>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"_Toc35611511" </w:instrText>
      </w:r>
      <w:r>
        <w:rPr>
          <w:color w:val="auto"/>
          <w:highlight w:val="none"/>
        </w:rPr>
        <w:fldChar w:fldCharType="separate"/>
      </w:r>
      <w:r>
        <w:rPr>
          <w:rStyle w:val="26"/>
          <w:rFonts w:hint="eastAsia"/>
          <w:color w:val="auto"/>
          <w:sz w:val="28"/>
          <w:szCs w:val="28"/>
          <w:highlight w:val="none"/>
        </w:rPr>
        <w:t>第二章</w:t>
      </w:r>
      <w:r>
        <w:rPr>
          <w:rStyle w:val="26"/>
          <w:color w:val="auto"/>
          <w:sz w:val="28"/>
          <w:szCs w:val="28"/>
          <w:highlight w:val="none"/>
        </w:rPr>
        <w:t xml:space="preserve"> </w:t>
      </w:r>
      <w:r>
        <w:rPr>
          <w:rStyle w:val="26"/>
          <w:rFonts w:hint="eastAsia"/>
          <w:color w:val="auto"/>
          <w:sz w:val="28"/>
          <w:szCs w:val="28"/>
          <w:highlight w:val="none"/>
        </w:rPr>
        <w:t>供应商须知及前附表</w:t>
      </w:r>
      <w:r>
        <w:rPr>
          <w:rFonts w:hint="eastAsia"/>
          <w:color w:val="auto"/>
          <w:sz w:val="28"/>
          <w:szCs w:val="28"/>
          <w:highlight w:val="none"/>
          <w:lang w:val="en-US" w:eastAsia="zh-CN"/>
        </w:rPr>
        <w:t>....................................................4</w:t>
      </w:r>
      <w:r>
        <w:rPr>
          <w:rFonts w:hint="eastAsia"/>
          <w:color w:val="auto"/>
          <w:sz w:val="28"/>
          <w:szCs w:val="28"/>
          <w:highlight w:val="none"/>
        </w:rPr>
        <w:fldChar w:fldCharType="end"/>
      </w:r>
    </w:p>
    <w:p>
      <w:pPr>
        <w:pStyle w:val="17"/>
        <w:tabs>
          <w:tab w:val="right" w:leader="dot" w:pos="9040"/>
          <w:tab w:val="clear" w:pos="8296"/>
        </w:tabs>
        <w:spacing w:line="360" w:lineRule="auto"/>
        <w:ind w:left="440"/>
        <w:outlineLvl w:val="0"/>
        <w:rPr>
          <w:rFonts w:ascii="Calibri" w:hAnsi="Calibri"/>
          <w:color w:val="auto"/>
          <w:sz w:val="28"/>
          <w:szCs w:val="28"/>
          <w:highlight w:val="none"/>
        </w:rPr>
      </w:pPr>
      <w:r>
        <w:rPr>
          <w:color w:val="auto"/>
          <w:highlight w:val="none"/>
        </w:rPr>
        <w:fldChar w:fldCharType="begin"/>
      </w:r>
      <w:r>
        <w:rPr>
          <w:color w:val="auto"/>
          <w:highlight w:val="none"/>
        </w:rPr>
        <w:instrText xml:space="preserve"> HYPERLINK \l "_Toc35611512" </w:instrText>
      </w:r>
      <w:r>
        <w:rPr>
          <w:color w:val="auto"/>
          <w:highlight w:val="none"/>
        </w:rPr>
        <w:fldChar w:fldCharType="separate"/>
      </w:r>
      <w:r>
        <w:rPr>
          <w:rStyle w:val="26"/>
          <w:rFonts w:hint="eastAsia"/>
          <w:color w:val="auto"/>
          <w:sz w:val="28"/>
          <w:szCs w:val="28"/>
          <w:highlight w:val="none"/>
        </w:rPr>
        <w:t>第三章</w:t>
      </w:r>
      <w:r>
        <w:rPr>
          <w:rStyle w:val="26"/>
          <w:color w:val="auto"/>
          <w:sz w:val="28"/>
          <w:szCs w:val="28"/>
          <w:highlight w:val="none"/>
        </w:rPr>
        <w:t xml:space="preserve"> </w:t>
      </w:r>
      <w:r>
        <w:rPr>
          <w:rStyle w:val="26"/>
          <w:rFonts w:hint="eastAsia"/>
          <w:color w:val="auto"/>
          <w:sz w:val="28"/>
          <w:szCs w:val="28"/>
          <w:highlight w:val="none"/>
        </w:rPr>
        <w:t>货物需求一览表</w:t>
      </w:r>
      <w:r>
        <w:rPr>
          <w:rFonts w:hint="eastAsia"/>
          <w:color w:val="auto"/>
          <w:sz w:val="28"/>
          <w:szCs w:val="28"/>
          <w:highlight w:val="none"/>
          <w:lang w:val="en-US" w:eastAsia="zh-CN"/>
        </w:rPr>
        <w:t>...........................................................</w:t>
      </w:r>
      <w:r>
        <w:rPr>
          <w:rFonts w:hint="eastAsia"/>
          <w:color w:val="auto"/>
          <w:sz w:val="28"/>
          <w:szCs w:val="28"/>
          <w:highlight w:val="none"/>
        </w:rPr>
        <w:t>2</w:t>
      </w:r>
      <w:r>
        <w:rPr>
          <w:rFonts w:hint="eastAsia"/>
          <w:color w:val="auto"/>
          <w:sz w:val="28"/>
          <w:szCs w:val="28"/>
          <w:highlight w:val="none"/>
        </w:rPr>
        <w:fldChar w:fldCharType="end"/>
      </w:r>
      <w:r>
        <w:rPr>
          <w:rFonts w:hint="eastAsia"/>
          <w:color w:val="auto"/>
          <w:sz w:val="28"/>
          <w:szCs w:val="28"/>
          <w:highlight w:val="none"/>
        </w:rPr>
        <w:t>3</w:t>
      </w:r>
    </w:p>
    <w:p>
      <w:pPr>
        <w:pStyle w:val="17"/>
        <w:tabs>
          <w:tab w:val="right" w:leader="dot" w:pos="9040"/>
          <w:tab w:val="clear" w:pos="8296"/>
        </w:tabs>
        <w:spacing w:line="360" w:lineRule="auto"/>
        <w:ind w:left="440"/>
        <w:outlineLvl w:val="0"/>
        <w:rPr>
          <w:rFonts w:hint="eastAsia" w:ascii="Calibri" w:hAnsi="Calibri" w:eastAsia="微软雅黑"/>
          <w:color w:val="auto"/>
          <w:sz w:val="28"/>
          <w:szCs w:val="28"/>
          <w:highlight w:val="none"/>
          <w:lang w:eastAsia="zh-CN"/>
        </w:rPr>
      </w:pPr>
      <w:r>
        <w:rPr>
          <w:color w:val="auto"/>
          <w:highlight w:val="none"/>
        </w:rPr>
        <w:fldChar w:fldCharType="begin"/>
      </w:r>
      <w:r>
        <w:rPr>
          <w:color w:val="auto"/>
          <w:highlight w:val="none"/>
        </w:rPr>
        <w:instrText xml:space="preserve"> HYPERLINK \l "_Toc35611513" </w:instrText>
      </w:r>
      <w:r>
        <w:rPr>
          <w:color w:val="auto"/>
          <w:highlight w:val="none"/>
        </w:rPr>
        <w:fldChar w:fldCharType="separate"/>
      </w:r>
      <w:r>
        <w:rPr>
          <w:rStyle w:val="26"/>
          <w:rFonts w:hint="eastAsia"/>
          <w:color w:val="auto"/>
          <w:sz w:val="28"/>
          <w:szCs w:val="28"/>
          <w:highlight w:val="none"/>
        </w:rPr>
        <w:t>第四章</w:t>
      </w:r>
      <w:r>
        <w:rPr>
          <w:rStyle w:val="26"/>
          <w:color w:val="auto"/>
          <w:sz w:val="28"/>
          <w:szCs w:val="28"/>
          <w:highlight w:val="none"/>
        </w:rPr>
        <w:t xml:space="preserve"> </w:t>
      </w:r>
      <w:r>
        <w:rPr>
          <w:rStyle w:val="26"/>
          <w:rFonts w:hint="eastAsia"/>
          <w:color w:val="auto"/>
          <w:sz w:val="28"/>
          <w:szCs w:val="28"/>
          <w:highlight w:val="none"/>
        </w:rPr>
        <w:t>合同协议书</w:t>
      </w:r>
      <w:r>
        <w:rPr>
          <w:rFonts w:hint="eastAsia"/>
          <w:color w:val="auto"/>
          <w:sz w:val="28"/>
          <w:szCs w:val="28"/>
          <w:highlight w:val="none"/>
          <w:lang w:val="en-US" w:eastAsia="zh-CN"/>
        </w:rPr>
        <w:t>.................................................................3</w:t>
      </w:r>
      <w:r>
        <w:rPr>
          <w:rFonts w:hint="eastAsia"/>
          <w:color w:val="auto"/>
          <w:sz w:val="28"/>
          <w:szCs w:val="28"/>
          <w:highlight w:val="none"/>
        </w:rPr>
        <w:fldChar w:fldCharType="end"/>
      </w:r>
      <w:r>
        <w:rPr>
          <w:rFonts w:hint="eastAsia"/>
          <w:color w:val="auto"/>
          <w:sz w:val="28"/>
          <w:szCs w:val="28"/>
          <w:highlight w:val="none"/>
          <w:lang w:val="en-US" w:eastAsia="zh-CN"/>
        </w:rPr>
        <w:t>7</w:t>
      </w:r>
    </w:p>
    <w:p>
      <w:pPr>
        <w:pStyle w:val="17"/>
        <w:tabs>
          <w:tab w:val="right" w:leader="dot" w:pos="9040"/>
          <w:tab w:val="clear" w:pos="8296"/>
        </w:tabs>
        <w:spacing w:line="360" w:lineRule="auto"/>
        <w:ind w:left="440"/>
        <w:outlineLvl w:val="0"/>
        <w:rPr>
          <w:rFonts w:hint="eastAsia" w:eastAsia="微软雅黑"/>
          <w:color w:val="auto"/>
          <w:sz w:val="28"/>
          <w:szCs w:val="28"/>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Style w:val="26"/>
          <w:rFonts w:hint="eastAsia"/>
          <w:color w:val="auto"/>
          <w:sz w:val="28"/>
          <w:szCs w:val="28"/>
          <w:highlight w:val="none"/>
        </w:rPr>
        <w:t>第五章</w:t>
      </w:r>
      <w:r>
        <w:rPr>
          <w:rStyle w:val="26"/>
          <w:color w:val="auto"/>
          <w:sz w:val="28"/>
          <w:szCs w:val="28"/>
          <w:highlight w:val="none"/>
        </w:rPr>
        <w:t xml:space="preserve"> </w:t>
      </w:r>
      <w:r>
        <w:rPr>
          <w:rStyle w:val="26"/>
          <w:rFonts w:hint="eastAsia"/>
          <w:color w:val="auto"/>
          <w:sz w:val="28"/>
          <w:szCs w:val="28"/>
          <w:highlight w:val="none"/>
        </w:rPr>
        <w:t>响应文件格式</w:t>
      </w:r>
      <w:r>
        <w:rPr>
          <w:rStyle w:val="26"/>
          <w:rFonts w:hint="eastAsia"/>
          <w:color w:val="auto"/>
          <w:sz w:val="28"/>
          <w:szCs w:val="28"/>
          <w:highlight w:val="none"/>
          <w:lang w:val="en-US" w:eastAsia="zh-CN"/>
        </w:rPr>
        <w:t>.............................................................................</w:t>
      </w:r>
      <w:r>
        <w:rPr>
          <w:rFonts w:hint="eastAsia"/>
          <w:color w:val="auto"/>
          <w:sz w:val="28"/>
          <w:szCs w:val="28"/>
          <w:highlight w:val="none"/>
          <w:lang w:val="en-US" w:eastAsia="zh-CN"/>
        </w:rPr>
        <w:t>4</w:t>
      </w:r>
      <w:r>
        <w:rPr>
          <w:rFonts w:hint="eastAsia"/>
          <w:color w:val="auto"/>
          <w:sz w:val="28"/>
          <w:szCs w:val="28"/>
          <w:highlight w:val="none"/>
        </w:rPr>
        <w:fldChar w:fldCharType="end"/>
      </w:r>
      <w:r>
        <w:rPr>
          <w:rFonts w:hint="eastAsia"/>
          <w:color w:val="auto"/>
          <w:sz w:val="28"/>
          <w:szCs w:val="28"/>
          <w:highlight w:val="none"/>
          <w:lang w:val="en-US" w:eastAsia="zh-CN"/>
        </w:rPr>
        <w:t>2</w:t>
      </w:r>
    </w:p>
    <w:p>
      <w:pPr>
        <w:ind w:firstLine="440" w:firstLineChars="200"/>
        <w:rPr>
          <w:rFonts w:hint="eastAsia"/>
          <w:color w:val="auto"/>
          <w:highlight w:val="none"/>
          <w:lang w:val="en-US" w:eastAsia="zh-CN"/>
        </w:rPr>
      </w:pPr>
      <w:r>
        <w:rPr>
          <w:color w:val="auto"/>
          <w:highlight w:val="none"/>
        </w:rPr>
        <w:fldChar w:fldCharType="begin"/>
      </w:r>
      <w:r>
        <w:rPr>
          <w:color w:val="auto"/>
          <w:highlight w:val="none"/>
        </w:rPr>
        <w:instrText xml:space="preserve"> HYPERLINK \l "_Toc35611514" </w:instrText>
      </w:r>
      <w:r>
        <w:rPr>
          <w:color w:val="auto"/>
          <w:highlight w:val="none"/>
        </w:rPr>
        <w:fldChar w:fldCharType="separate"/>
      </w:r>
      <w:r>
        <w:rPr>
          <w:rFonts w:hint="eastAsia"/>
          <w:color w:val="auto"/>
          <w:sz w:val="24"/>
          <w:szCs w:val="24"/>
          <w:highlight w:val="none"/>
        </w:rPr>
        <w:fldChar w:fldCharType="begin"/>
      </w:r>
      <w:r>
        <w:rPr>
          <w:rFonts w:hint="eastAsia"/>
          <w:color w:val="auto"/>
          <w:sz w:val="24"/>
          <w:szCs w:val="24"/>
          <w:highlight w:val="none"/>
        </w:rPr>
        <w:instrText xml:space="preserve"> HYPERLINK \l "bookmark19" </w:instrText>
      </w:r>
      <w:r>
        <w:rPr>
          <w:rFonts w:hint="eastAsia"/>
          <w:color w:val="auto"/>
          <w:sz w:val="24"/>
          <w:szCs w:val="24"/>
          <w:highlight w:val="none"/>
        </w:rPr>
        <w:fldChar w:fldCharType="separate"/>
      </w:r>
      <w:r>
        <w:rPr>
          <w:rStyle w:val="26"/>
          <w:rFonts w:hint="eastAsia"/>
          <w:color w:val="auto"/>
          <w:sz w:val="28"/>
          <w:szCs w:val="28"/>
          <w:highlight w:val="none"/>
          <w:lang w:val="en-US" w:eastAsia="zh-CN" w:bidi="ar-SA"/>
        </w:rPr>
        <w:t>第六章 评定成交的标准</w:t>
      </w:r>
      <w:r>
        <w:rPr>
          <w:rFonts w:hint="eastAsia" w:hAnsi="Times New Roman"/>
          <w:color w:val="auto"/>
          <w:sz w:val="24"/>
          <w:szCs w:val="24"/>
          <w:highlight w:val="none"/>
          <w:lang w:val="en-US" w:eastAsia="zh-CN"/>
        </w:rPr>
        <w:fldChar w:fldCharType="end"/>
      </w:r>
      <w:r>
        <w:rPr>
          <w:rFonts w:hint="eastAsia" w:hAnsi="Times New Roman"/>
          <w:color w:val="auto"/>
          <w:sz w:val="28"/>
          <w:szCs w:val="28"/>
          <w:highlight w:val="none"/>
          <w:lang w:val="en-US" w:eastAsia="zh-CN"/>
        </w:rPr>
        <w:t>..........................................................61</w:t>
      </w:r>
      <w:r>
        <w:rPr>
          <w:color w:val="auto"/>
          <w:sz w:val="28"/>
          <w:szCs w:val="28"/>
          <w:highlight w:val="none"/>
        </w:rPr>
        <w:tab/>
      </w:r>
      <w:r>
        <w:rPr>
          <w:rFonts w:hint="eastAsia"/>
          <w:color w:val="auto"/>
          <w:sz w:val="28"/>
          <w:szCs w:val="28"/>
          <w:highlight w:val="none"/>
        </w:rPr>
        <w:fldChar w:fldCharType="end"/>
      </w:r>
    </w:p>
    <w:p>
      <w:pPr>
        <w:rPr>
          <w:rFonts w:hint="eastAsia"/>
          <w:color w:val="auto"/>
          <w:highlight w:val="none"/>
          <w:lang w:eastAsia="zh-CN"/>
        </w:rPr>
      </w:pPr>
    </w:p>
    <w:p>
      <w:pPr>
        <w:rPr>
          <w:rFonts w:ascii="宋体" w:hAnsi="宋体" w:eastAsia="宋体" w:cs="宋体"/>
          <w:color w:val="auto"/>
          <w:highlight w:val="none"/>
        </w:rPr>
      </w:pPr>
      <w:r>
        <w:rPr>
          <w:color w:val="auto"/>
          <w:sz w:val="28"/>
          <w:szCs w:val="28"/>
          <w:highlight w:val="none"/>
        </w:rPr>
        <w:fldChar w:fldCharType="end"/>
      </w:r>
    </w:p>
    <w:p>
      <w:pPr>
        <w:tabs>
          <w:tab w:val="left" w:pos="9214"/>
        </w:tabs>
        <w:ind w:right="423"/>
        <w:jc w:val="both"/>
        <w:rPr>
          <w:rFonts w:ascii="宋体" w:hAnsi="宋体" w:eastAsia="宋体" w:cs="宋体"/>
          <w:b/>
          <w:color w:val="auto"/>
          <w:sz w:val="28"/>
          <w:highlight w:val="none"/>
        </w:rPr>
      </w:pPr>
    </w:p>
    <w:p>
      <w:pPr>
        <w:tabs>
          <w:tab w:val="left" w:pos="9214"/>
        </w:tabs>
        <w:ind w:right="423"/>
        <w:jc w:val="center"/>
        <w:rPr>
          <w:rFonts w:hint="eastAsia" w:ascii="宋体" w:hAnsi="宋体" w:eastAsia="宋体" w:cs="宋体"/>
          <w:b/>
          <w:color w:val="auto"/>
          <w:sz w:val="28"/>
          <w:highlight w:val="none"/>
        </w:rPr>
        <w:sectPr>
          <w:pgSz w:w="11910" w:h="16840"/>
          <w:pgMar w:top="1520" w:right="1500" w:bottom="280" w:left="1680" w:header="720" w:footer="720" w:gutter="0"/>
          <w:cols w:space="720" w:num="1"/>
        </w:sectPr>
      </w:pPr>
    </w:p>
    <w:p>
      <w:pPr>
        <w:tabs>
          <w:tab w:val="left" w:pos="9214"/>
        </w:tabs>
        <w:ind w:right="423"/>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第一章 竞争性谈判公告</w:t>
      </w:r>
    </w:p>
    <w:p>
      <w:pPr>
        <w:spacing w:after="80" w:line="460" w:lineRule="exact"/>
        <w:jc w:val="center"/>
        <w:rPr>
          <w:rFonts w:hint="eastAsia" w:ascii="宋体" w:hAnsi="宋体" w:eastAsia="宋体" w:cs="宋体"/>
          <w:b/>
          <w:color w:val="auto"/>
          <w:sz w:val="24"/>
          <w:szCs w:val="24"/>
          <w:highlight w:val="none"/>
          <w:lang w:eastAsia="zh-CN"/>
        </w:rPr>
      </w:pPr>
      <w:bookmarkStart w:id="0" w:name="OLE_LINK2"/>
      <w:r>
        <w:rPr>
          <w:rFonts w:hint="eastAsia" w:ascii="宋体" w:hAnsi="宋体" w:eastAsia="宋体" w:cs="宋体"/>
          <w:b/>
          <w:color w:val="auto"/>
          <w:sz w:val="24"/>
          <w:szCs w:val="24"/>
          <w:highlight w:val="none"/>
          <w:lang w:eastAsia="zh-CN"/>
        </w:rPr>
        <w:t>隆林各族自治县中医医院关于隆林各族自治县中医医院中医四诊仪设备采购项目（LLXZYYY20250044）的竞争性谈判公告</w:t>
      </w:r>
    </w:p>
    <w:p>
      <w:pPr>
        <w:widowControl w:val="0"/>
        <w:pBdr>
          <w:top w:val="single" w:color="auto" w:sz="4" w:space="1"/>
          <w:left w:val="single" w:color="auto" w:sz="4" w:space="4"/>
          <w:bottom w:val="single" w:color="auto" w:sz="4" w:space="1"/>
          <w:right w:val="single" w:color="auto" w:sz="4" w:space="4"/>
        </w:pBdr>
        <w:tabs>
          <w:tab w:val="left" w:pos="474"/>
        </w:tabs>
        <w:adjustRightInd/>
        <w:snapToGrid/>
        <w:spacing w:after="80" w:line="44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widowControl w:val="0"/>
        <w:pBdr>
          <w:top w:val="single" w:color="auto" w:sz="4" w:space="1"/>
          <w:left w:val="single" w:color="auto" w:sz="4" w:space="4"/>
          <w:bottom w:val="single" w:color="auto" w:sz="4" w:space="1"/>
          <w:right w:val="single" w:color="auto" w:sz="4" w:space="4"/>
        </w:pBdr>
        <w:adjustRightInd/>
        <w:snapToGrid/>
        <w:spacing w:after="80" w:line="440" w:lineRule="exact"/>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隆林各族自治县中医医院中医四诊仪设备采购项目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lang w:val="en-US" w:eastAsia="zh-CN"/>
        </w:rPr>
        <w:t>公告下方自行获取</w:t>
      </w:r>
      <w:r>
        <w:rPr>
          <w:rFonts w:hint="eastAsia" w:ascii="宋体" w:hAnsi="宋体" w:eastAsia="宋体" w:cs="宋体"/>
          <w:color w:val="auto"/>
          <w:sz w:val="24"/>
          <w:szCs w:val="24"/>
          <w:highlight w:val="none"/>
        </w:rPr>
        <w:t>竞争性</w:t>
      </w:r>
      <w:r>
        <w:rPr>
          <w:rFonts w:hint="eastAsia" w:ascii="宋体" w:hAnsi="宋体" w:eastAsia="宋体" w:cs="宋体"/>
          <w:color w:val="auto"/>
          <w:spacing w:val="-8"/>
          <w:sz w:val="24"/>
          <w:szCs w:val="24"/>
          <w:highlight w:val="none"/>
        </w:rPr>
        <w:t>谈判文件</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val="en-US" w:eastAsia="zh-CN"/>
        </w:rPr>
        <w:t>谈判时现场</w:t>
      </w:r>
      <w:r>
        <w:rPr>
          <w:rFonts w:hint="eastAsia" w:ascii="宋体" w:hAnsi="宋体" w:eastAsia="宋体" w:cs="宋体"/>
          <w:color w:val="auto"/>
          <w:sz w:val="24"/>
          <w:szCs w:val="24"/>
          <w:highlight w:val="none"/>
        </w:rPr>
        <w:t>提交响应文件。</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隆林各族自治县中医医院中医四诊仪设备采购项目</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LLXZYYY20250044</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采购方式：竞争性谈判 </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290000.00元（含软件）</w:t>
      </w:r>
      <w:r>
        <w:rPr>
          <w:rFonts w:hint="eastAsia" w:ascii="宋体" w:hAnsi="宋体" w:eastAsia="宋体" w:cs="宋体"/>
          <w:color w:val="auto"/>
          <w:sz w:val="24"/>
          <w:szCs w:val="24"/>
          <w:highlight w:val="none"/>
        </w:rPr>
        <w:tab/>
      </w:r>
    </w:p>
    <w:p>
      <w:pPr>
        <w:widowControl w:val="0"/>
        <w:spacing w:after="8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最高限价（如有）：</w:t>
      </w:r>
      <w:r>
        <w:rPr>
          <w:rFonts w:hint="eastAsia" w:ascii="宋体" w:hAnsi="宋体" w:eastAsia="宋体" w:cs="宋体"/>
          <w:color w:val="auto"/>
          <w:sz w:val="24"/>
          <w:szCs w:val="24"/>
          <w:highlight w:val="none"/>
          <w:lang w:val="en-US" w:eastAsia="zh-CN"/>
        </w:rPr>
        <w:t>290000.00元</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采购需求：拟采购</w:t>
      </w:r>
      <w:r>
        <w:rPr>
          <w:rFonts w:hint="eastAsia" w:ascii="宋体" w:hAnsi="宋体" w:eastAsia="宋体" w:cs="宋体"/>
          <w:color w:val="auto"/>
          <w:sz w:val="24"/>
          <w:szCs w:val="24"/>
          <w:highlight w:val="none"/>
          <w:u w:val="none"/>
          <w:lang w:eastAsia="zh-CN"/>
        </w:rPr>
        <w:t>中医四诊仪设备</w:t>
      </w:r>
      <w:r>
        <w:rPr>
          <w:rFonts w:hint="eastAsia" w:ascii="宋体" w:hAnsi="宋体" w:eastAsia="宋体" w:cs="宋体"/>
          <w:color w:val="auto"/>
          <w:sz w:val="24"/>
          <w:szCs w:val="24"/>
          <w:highlight w:val="none"/>
        </w:rPr>
        <w:t>。如需近一步了解，详见竞争性谈判采购文件。</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合同履行期限：合同签订之日起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本项目不接受联合体竞标。</w:t>
      </w:r>
    </w:p>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二、供应商资格：</w:t>
      </w:r>
    </w:p>
    <w:p>
      <w:pPr>
        <w:widowControl w:val="0"/>
        <w:spacing w:after="8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pStyle w:val="16"/>
        <w:spacing w:line="360" w:lineRule="auto"/>
        <w:ind w:firstLine="480" w:firstLineChars="200"/>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2、落实政府采购政策需满足的资格要求：无；</w:t>
      </w:r>
    </w:p>
    <w:p>
      <w:pPr>
        <w:pStyle w:val="16"/>
        <w:spacing w:line="360" w:lineRule="auto"/>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3、国内注册（指按国家有关规定要求注册的），合法运营在法律上、财务上独立的，具有生产或经营本次采购货物供应商；</w:t>
      </w:r>
    </w:p>
    <w:p>
      <w:pPr>
        <w:widowControl w:val="0"/>
        <w:spacing w:after="8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widowControl w:val="0"/>
        <w:spacing w:after="80"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于本公告下方自行获取。</w:t>
      </w:r>
    </w:p>
    <w:p>
      <w:pPr>
        <w:pStyle w:val="18"/>
        <w:keepNext w:val="0"/>
        <w:keepLines w:val="0"/>
        <w:widowControl/>
        <w:numPr>
          <w:ilvl w:val="0"/>
          <w:numId w:val="1"/>
        </w:numPr>
        <w:suppressLineNumbers w:val="0"/>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报名方式</w:t>
      </w:r>
    </w:p>
    <w:p>
      <w:pPr>
        <w:pStyle w:val="18"/>
        <w:keepNext w:val="0"/>
        <w:keepLines w:val="0"/>
        <w:widowControl/>
        <w:numPr>
          <w:ilvl w:val="0"/>
          <w:numId w:val="0"/>
        </w:numPr>
        <w:suppressLineNumbers w:val="0"/>
        <w:ind w:firstLine="480" w:firstLineChars="200"/>
      </w:pPr>
      <w:r>
        <w:t>确定参与本项目供应商请2025年1</w:t>
      </w:r>
      <w:r>
        <w:rPr>
          <w:rFonts w:hint="eastAsia"/>
          <w:lang w:val="en-US" w:eastAsia="zh-CN"/>
        </w:rPr>
        <w:t>2</w:t>
      </w:r>
      <w:r>
        <w:t>月</w:t>
      </w:r>
      <w:r>
        <w:rPr>
          <w:rFonts w:hint="eastAsia"/>
          <w:lang w:val="en-US" w:eastAsia="zh-CN"/>
        </w:rPr>
        <w:t>16</w:t>
      </w:r>
      <w:r>
        <w:t>日1</w:t>
      </w:r>
      <w:r>
        <w:rPr>
          <w:rFonts w:hint="eastAsia"/>
          <w:lang w:val="en-US" w:eastAsia="zh-CN"/>
        </w:rPr>
        <w:t>8</w:t>
      </w:r>
      <w:r>
        <w:t>时</w:t>
      </w:r>
      <w:r>
        <w:rPr>
          <w:rFonts w:hint="eastAsia"/>
          <w:lang w:val="en-US" w:eastAsia="zh-CN"/>
        </w:rPr>
        <w:t>0</w:t>
      </w:r>
      <w:r>
        <w:t>0分前提供以下材料发送至邮箱报名（llxzyyycgb@163.com）：</w:t>
      </w:r>
    </w:p>
    <w:p>
      <w:pPr>
        <w:pStyle w:val="18"/>
        <w:keepNext w:val="0"/>
        <w:keepLines w:val="0"/>
        <w:widowControl/>
        <w:suppressLineNumbers w:val="0"/>
        <w:ind w:firstLine="480" w:firstLineChars="200"/>
      </w:pPr>
      <w:r>
        <w:t>①报名函（格式自拟）；②《营业执照》、《医疗器械经营许可证》或《医疗器械生产许可证》；③法人身份证正反面复印件（加盖公司公章）、授权代理人身份证正反面复印件（加盖公章）。</w:t>
      </w:r>
    </w:p>
    <w:p>
      <w:pPr>
        <w:widowControl w:val="0"/>
        <w:spacing w:after="80" w:line="500" w:lineRule="exact"/>
        <w:rPr>
          <w:rFonts w:ascii="宋体" w:hAnsi="宋体" w:eastAsia="宋体" w:cs="宋体"/>
          <w:b/>
          <w:color w:val="auto"/>
          <w:sz w:val="24"/>
          <w:szCs w:val="24"/>
          <w:highlight w:val="none"/>
        </w:rPr>
      </w:pPr>
      <w:bookmarkStart w:id="1" w:name="_Toc28359092"/>
      <w:bookmarkStart w:id="2" w:name="_Toc35393801"/>
      <w:bookmarkStart w:id="3" w:name="_Toc28359015"/>
      <w:bookmarkStart w:id="4" w:name="_Toc35393632"/>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、响应文件提交</w:t>
      </w:r>
      <w:bookmarkEnd w:id="1"/>
      <w:bookmarkEnd w:id="2"/>
      <w:bookmarkEnd w:id="3"/>
      <w:bookmarkEnd w:id="4"/>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val="en-US" w:eastAsia="zh-CN"/>
        </w:rPr>
        <w:t>竟谈会时现场提交</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bookmarkStart w:id="5" w:name="_Toc35393625"/>
      <w:bookmarkStart w:id="6" w:name="_Toc28359007"/>
      <w:bookmarkStart w:id="7" w:name="_Toc28359084"/>
      <w:bookmarkStart w:id="8" w:name="_Toc35393794"/>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、开启</w:t>
      </w:r>
    </w:p>
    <w:p>
      <w:pPr>
        <w:widowControl w:val="0"/>
        <w:spacing w:after="80" w:line="500" w:lineRule="exact"/>
        <w:ind w:firstLine="480" w:firstLineChars="200"/>
        <w:rPr>
          <w:rFonts w:ascii="宋体" w:hAnsi="宋体" w:eastAsia="宋体" w:cs="宋体"/>
          <w:sz w:val="24"/>
          <w:szCs w:val="24"/>
        </w:rPr>
      </w:pPr>
      <w:r>
        <w:rPr>
          <w:rFonts w:hint="eastAsia" w:ascii="宋体" w:hAnsi="宋体" w:eastAsia="宋体" w:cs="宋体"/>
          <w:color w:val="auto"/>
          <w:sz w:val="24"/>
          <w:szCs w:val="24"/>
          <w:highlight w:val="none"/>
        </w:rPr>
        <w:t>时间：</w:t>
      </w:r>
      <w:r>
        <w:rPr>
          <w:rFonts w:ascii="宋体" w:hAnsi="宋体" w:eastAsia="宋体" w:cs="宋体"/>
          <w:sz w:val="24"/>
          <w:szCs w:val="24"/>
        </w:rPr>
        <w:t>竟谈会具体时间由院方提前两天通知。</w:t>
      </w:r>
    </w:p>
    <w:p>
      <w:pPr>
        <w:widowControl w:val="0"/>
        <w:spacing w:after="80"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隆林各族自治县中医医院会议室</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、公告期限</w:t>
      </w:r>
      <w:bookmarkEnd w:id="5"/>
      <w:bookmarkEnd w:id="6"/>
      <w:bookmarkEnd w:id="7"/>
      <w:bookmarkEnd w:id="8"/>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自公告发布之日起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个工作日。</w:t>
      </w:r>
    </w:p>
    <w:p>
      <w:pPr>
        <w:widowControl w:val="0"/>
        <w:spacing w:after="80" w:line="50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en-US" w:eastAsia="zh-CN"/>
        </w:rPr>
        <w:t>1.网上查询地址：https://llgzzzxzyyy.cn（隆林各族自治县中医医院官网）。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.竞标保证金：无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.本项目需要落实的政府采购政策：(1) 政府采购促进中小企业发展。(2) 政府采购支持采用本国产品的政策。(3) 强制采购节能产品、优先采购节能产品、环境标志产品。(4) 政府采购促进残疾人就业政策。(5) 政府采购支持监狱企业发展。</w:t>
      </w:r>
    </w:p>
    <w:p>
      <w:pPr>
        <w:widowControl w:val="0"/>
        <w:spacing w:after="80" w:line="500" w:lineRule="exact"/>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、凡对本次采购提出询问，请按以下方式联系：</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widowControl w:val="0"/>
        <w:spacing w:after="80"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lang w:eastAsia="zh-CN"/>
        </w:rPr>
        <w:t>隆林各族自治县中医医院</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default" w:ascii="宋体" w:hAnsi="宋体" w:eastAsia="宋体" w:cs="宋体"/>
          <w:color w:val="auto"/>
          <w:sz w:val="24"/>
          <w:szCs w:val="24"/>
          <w:highlight w:val="none"/>
          <w:lang w:eastAsia="zh-CN"/>
        </w:rPr>
        <w:t>隆林各族自治县江那小区</w:t>
      </w:r>
      <w:r>
        <w:rPr>
          <w:rFonts w:hint="eastAsia" w:ascii="宋体" w:hAnsi="宋体" w:eastAsia="宋体" w:cs="宋体"/>
          <w:color w:val="auto"/>
          <w:sz w:val="24"/>
          <w:szCs w:val="24"/>
          <w:highlight w:val="none"/>
        </w:rPr>
        <w:t xml:space="preserve"> </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常工</w:t>
      </w:r>
      <w:r>
        <w:rPr>
          <w:rFonts w:hint="eastAsia" w:ascii="宋体" w:hAnsi="宋体" w:eastAsia="宋体" w:cs="宋体"/>
          <w:color w:val="auto"/>
          <w:sz w:val="24"/>
          <w:szCs w:val="24"/>
          <w:highlight w:val="none"/>
        </w:rPr>
        <w:t xml:space="preserve">  电话：</w:t>
      </w:r>
      <w:r>
        <w:rPr>
          <w:rFonts w:hint="eastAsia" w:ascii="宋体" w:hAnsi="宋体" w:eastAsia="宋体" w:cs="宋体"/>
          <w:sz w:val="24"/>
          <w:szCs w:val="24"/>
          <w:highlight w:val="none"/>
          <w:u w:val="none"/>
          <w:lang w:val="en-US" w:eastAsia="zh-CN"/>
        </w:rPr>
        <w:t>0776-5084153</w:t>
      </w:r>
    </w:p>
    <w:p>
      <w:pPr>
        <w:widowControl w:val="0"/>
        <w:autoSpaceDE w:val="0"/>
        <w:autoSpaceDN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w:t>
      </w: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机构信息</w:t>
      </w:r>
    </w:p>
    <w:p>
      <w:pPr>
        <w:widowControl w:val="0"/>
        <w:spacing w:after="80"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机构：</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lang w:val="en-US" w:eastAsia="zh-CN"/>
        </w:rPr>
        <w:t>纪检监察室</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lang w:val="en-US" w:eastAsia="zh-CN"/>
        </w:rPr>
        <w:t>谭主任</w:t>
      </w:r>
    </w:p>
    <w:p>
      <w:pPr>
        <w:widowControl w:val="0"/>
        <w:autoSpaceDE w:val="0"/>
        <w:autoSpaceDN w:val="0"/>
        <w:spacing w:after="80" w:line="500" w:lineRule="exact"/>
        <w:ind w:firstLine="480" w:firstLineChars="200"/>
        <w:rPr>
          <w:color w:val="auto"/>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0776-2505111</w:t>
      </w:r>
    </w:p>
    <w:p>
      <w:pPr>
        <w:widowControl w:val="0"/>
        <w:wordWrap w:val="0"/>
        <w:spacing w:after="80" w:line="500" w:lineRule="exact"/>
        <w:ind w:left="247" w:right="143" w:rightChars="65" w:hanging="247" w:hangingChars="103"/>
        <w:jc w:val="right"/>
        <w:rPr>
          <w:rFonts w:hint="eastAsia" w:ascii="宋体" w:hAnsi="宋体" w:eastAsia="宋体" w:cs="宋体"/>
          <w:color w:val="auto"/>
          <w:sz w:val="24"/>
          <w:szCs w:val="24"/>
          <w:highlight w:val="none"/>
          <w:lang w:eastAsia="zh-CN"/>
        </w:rPr>
      </w:pPr>
    </w:p>
    <w:p>
      <w:pPr>
        <w:widowControl w:val="0"/>
        <w:wordWrap w:val="0"/>
        <w:spacing w:after="80" w:line="500" w:lineRule="exact"/>
        <w:ind w:left="247" w:right="143" w:rightChars="65" w:hanging="247" w:hangingChars="103"/>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szCs w:val="24"/>
          <w:highlight w:val="none"/>
        </w:rPr>
        <w:t xml:space="preserve">           </w:t>
      </w:r>
    </w:p>
    <w:p>
      <w:pPr>
        <w:ind w:firstLine="6000" w:firstLineChars="2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日            </w:t>
      </w: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 xml:space="preserve">第二章  </w:t>
      </w:r>
      <w:bookmarkEnd w:id="0"/>
      <w:r>
        <w:rPr>
          <w:rFonts w:hint="eastAsia" w:ascii="宋体" w:hAnsi="宋体" w:eastAsia="宋体" w:cs="宋体"/>
          <w:b/>
          <w:color w:val="auto"/>
          <w:sz w:val="32"/>
          <w:szCs w:val="32"/>
          <w:highlight w:val="none"/>
        </w:rPr>
        <w:t>供应商须知及前附表</w:t>
      </w:r>
    </w:p>
    <w:tbl>
      <w:tblPr>
        <w:tblStyle w:val="21"/>
        <w:tblW w:w="9233" w:type="dxa"/>
        <w:tblInd w:w="108" w:type="dxa"/>
        <w:tblLayout w:type="fixed"/>
        <w:tblCellMar>
          <w:top w:w="0" w:type="dxa"/>
          <w:left w:w="108" w:type="dxa"/>
          <w:bottom w:w="0" w:type="dxa"/>
          <w:right w:w="108" w:type="dxa"/>
        </w:tblCellMar>
      </w:tblPr>
      <w:tblGrid>
        <w:gridCol w:w="758"/>
        <w:gridCol w:w="1030"/>
        <w:gridCol w:w="7445"/>
      </w:tblGrid>
      <w:tr>
        <w:tblPrEx>
          <w:tblCellMar>
            <w:top w:w="0" w:type="dxa"/>
            <w:left w:w="108" w:type="dxa"/>
            <w:bottom w:w="0" w:type="dxa"/>
            <w:right w:w="108" w:type="dxa"/>
          </w:tblCellMar>
        </w:tblPrEx>
        <w:trPr>
          <w:trHeight w:val="53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内容规格</w:t>
            </w:r>
          </w:p>
        </w:tc>
      </w:tr>
      <w:tr>
        <w:tblPrEx>
          <w:tblCellMar>
            <w:top w:w="0" w:type="dxa"/>
            <w:left w:w="108" w:type="dxa"/>
            <w:bottom w:w="0" w:type="dxa"/>
            <w:right w:w="108" w:type="dxa"/>
          </w:tblCellMar>
        </w:tblPrEx>
        <w:trPr>
          <w:trHeight w:val="3640"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cs="宋体"/>
                <w:b/>
                <w:color w:val="auto"/>
                <w:sz w:val="24"/>
                <w:highlight w:val="none"/>
              </w:rPr>
            </w:pPr>
            <w:r>
              <w:rPr>
                <w:rFonts w:hint="eastAsia" w:ascii="宋体" w:hAnsi="宋体" w:eastAsia="宋体" w:cs="宋体"/>
                <w:b/>
                <w:color w:val="auto"/>
                <w:sz w:val="24"/>
                <w:highlight w:val="none"/>
              </w:rPr>
              <w:t>项目综合说明：</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隆林各族自治县中医医院中医四诊仪设备采购项目</w:t>
            </w:r>
          </w:p>
          <w:p>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LLXZYYY20250044</w:t>
            </w:r>
          </w:p>
          <w:p>
            <w:pPr>
              <w:rPr>
                <w:rFonts w:ascii="宋体" w:hAnsi="宋体" w:eastAsia="宋体" w:cs="宋体"/>
                <w:color w:val="auto"/>
                <w:sz w:val="24"/>
                <w:highlight w:val="none"/>
              </w:rPr>
            </w:pPr>
            <w:r>
              <w:rPr>
                <w:rFonts w:hint="eastAsia" w:ascii="宋体" w:hAnsi="宋体" w:eastAsia="宋体" w:cs="宋体"/>
                <w:color w:val="auto"/>
                <w:sz w:val="24"/>
                <w:highlight w:val="none"/>
              </w:rPr>
              <w:t>项目地点：</w:t>
            </w:r>
            <w:r>
              <w:rPr>
                <w:rFonts w:hint="eastAsia" w:ascii="宋体" w:hAnsi="宋体" w:eastAsia="宋体" w:cs="宋体"/>
                <w:color w:val="auto"/>
                <w:sz w:val="24"/>
                <w:szCs w:val="24"/>
                <w:highlight w:val="none"/>
                <w:lang w:eastAsia="zh-CN"/>
              </w:rPr>
              <w:t>隆林各族自治县中医医院</w:t>
            </w:r>
            <w:r>
              <w:rPr>
                <w:rFonts w:hint="eastAsia" w:ascii="宋体" w:hAnsi="宋体" w:eastAsia="宋体" w:cs="宋体"/>
                <w:color w:val="auto"/>
                <w:sz w:val="24"/>
                <w:highlight w:val="none"/>
              </w:rPr>
              <w:t xml:space="preserve">      </w:t>
            </w:r>
          </w:p>
          <w:p>
            <w:pPr>
              <w:spacing w:before="240"/>
              <w:rPr>
                <w:rFonts w:ascii="宋体" w:hAnsi="宋体" w:eastAsia="宋体" w:cs="宋体"/>
                <w:color w:val="auto"/>
                <w:sz w:val="24"/>
                <w:highlight w:val="none"/>
              </w:rPr>
            </w:pPr>
            <w:r>
              <w:rPr>
                <w:rFonts w:hint="eastAsia" w:ascii="宋体" w:hAnsi="宋体" w:eastAsia="宋体" w:cs="宋体"/>
                <w:color w:val="auto"/>
                <w:sz w:val="24"/>
                <w:highlight w:val="none"/>
              </w:rPr>
              <w:t>交货期：合同签订之日起</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0日内完成供货，调试，通过验收并交付使用。</w:t>
            </w:r>
          </w:p>
          <w:p>
            <w:pPr>
              <w:spacing w:before="240" w:line="360" w:lineRule="auto"/>
              <w:rPr>
                <w:rFonts w:ascii="宋体" w:hAnsi="宋体" w:eastAsia="宋体" w:cs="宋体"/>
                <w:color w:val="auto"/>
                <w:sz w:val="24"/>
                <w:szCs w:val="24"/>
                <w:highlight w:val="none"/>
              </w:rPr>
            </w:pPr>
            <w:r>
              <w:rPr>
                <w:rFonts w:hint="eastAsia" w:ascii="宋体" w:hAnsi="宋体" w:eastAsia="宋体" w:cs="宋体"/>
                <w:color w:val="auto"/>
                <w:spacing w:val="2"/>
                <w:sz w:val="24"/>
                <w:highlight w:val="none"/>
              </w:rPr>
              <w:t>项目基本概况</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拟采购</w:t>
            </w:r>
            <w:r>
              <w:rPr>
                <w:rFonts w:hint="eastAsia" w:ascii="宋体" w:hAnsi="宋体" w:eastAsia="宋体" w:cs="宋体"/>
                <w:color w:val="auto"/>
                <w:sz w:val="24"/>
                <w:szCs w:val="24"/>
                <w:highlight w:val="none"/>
                <w:u w:val="none"/>
                <w:lang w:eastAsia="zh-CN"/>
              </w:rPr>
              <w:t>中医四诊仪设备</w:t>
            </w:r>
            <w:r>
              <w:rPr>
                <w:rFonts w:hint="eastAsia" w:ascii="宋体" w:hAnsi="宋体" w:eastAsia="宋体" w:cs="宋体"/>
                <w:color w:val="auto"/>
                <w:sz w:val="24"/>
                <w:highlight w:val="none"/>
              </w:rPr>
              <w:t>。如需近一步了解，详见竞争性谈判采购文件。</w:t>
            </w:r>
          </w:p>
        </w:tc>
      </w:tr>
      <w:tr>
        <w:tblPrEx>
          <w:tblCellMar>
            <w:top w:w="0" w:type="dxa"/>
            <w:left w:w="108" w:type="dxa"/>
            <w:bottom w:w="0" w:type="dxa"/>
            <w:right w:w="108" w:type="dxa"/>
          </w:tblCellMar>
        </w:tblPrEx>
        <w:trPr>
          <w:trHeight w:val="566"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highlight w:val="none"/>
              </w:rPr>
              <w:t>资金来源：2025年中央补助广西医疗服务与保障能力提升资金。</w:t>
            </w:r>
          </w:p>
        </w:tc>
      </w:tr>
      <w:tr>
        <w:tblPrEx>
          <w:tblCellMar>
            <w:top w:w="0" w:type="dxa"/>
            <w:left w:w="108" w:type="dxa"/>
            <w:bottom w:w="0" w:type="dxa"/>
            <w:right w:w="108" w:type="dxa"/>
          </w:tblCellMar>
        </w:tblPrEx>
        <w:trPr>
          <w:trHeight w:val="5810"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val="0"/>
              <w:spacing w:after="80"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供应商资格：</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widowControl w:val="0"/>
              <w:spacing w:after="80"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t>4、单位负责人为同一人或者存在直接控股、管理关系的不同供应商，不得参加同一合同项下的政府采购活动。</w:t>
            </w:r>
          </w:p>
        </w:tc>
      </w:tr>
      <w:tr>
        <w:tblPrEx>
          <w:tblCellMar>
            <w:top w:w="0" w:type="dxa"/>
            <w:left w:w="108" w:type="dxa"/>
            <w:bottom w:w="0" w:type="dxa"/>
            <w:right w:w="108" w:type="dxa"/>
          </w:tblCellMar>
        </w:tblPrEx>
        <w:trPr>
          <w:trHeight w:val="69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现场勘查：</w:t>
            </w:r>
            <w:r>
              <w:rPr>
                <w:rFonts w:hint="eastAsia" w:ascii="宋体" w:hAnsi="宋体" w:eastAsia="宋体" w:cs="宋体"/>
                <w:color w:val="auto"/>
                <w:sz w:val="24"/>
                <w:highlight w:val="none"/>
              </w:rPr>
              <w:t>无。</w:t>
            </w:r>
          </w:p>
        </w:tc>
      </w:tr>
      <w:tr>
        <w:tblPrEx>
          <w:tblCellMar>
            <w:top w:w="0" w:type="dxa"/>
            <w:left w:w="108" w:type="dxa"/>
            <w:bottom w:w="0" w:type="dxa"/>
            <w:right w:w="108" w:type="dxa"/>
          </w:tblCellMar>
        </w:tblPrEx>
        <w:trPr>
          <w:trHeight w:val="77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竞标有效期为：竞标截止之日后60（日历天）。</w:t>
            </w:r>
          </w:p>
        </w:tc>
      </w:tr>
      <w:tr>
        <w:tblPrEx>
          <w:tblCellMar>
            <w:top w:w="0" w:type="dxa"/>
            <w:left w:w="108" w:type="dxa"/>
            <w:bottom w:w="0" w:type="dxa"/>
            <w:right w:w="108" w:type="dxa"/>
          </w:tblCellMar>
        </w:tblPrEx>
        <w:trPr>
          <w:trHeight w:val="701"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6</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13.1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0" w:line="440" w:lineRule="exact"/>
              <w:rPr>
                <w:rFonts w:ascii="宋体" w:hAnsi="宋体" w:eastAsia="宋体" w:cs="宋体"/>
                <w:color w:val="auto"/>
                <w:sz w:val="24"/>
                <w:szCs w:val="24"/>
                <w:highlight w:val="none"/>
              </w:rPr>
            </w:pPr>
            <w:r>
              <w:rPr>
                <w:rFonts w:hint="eastAsia" w:ascii="宋体" w:hAnsi="宋体" w:eastAsia="宋体" w:cs="宋体"/>
                <w:b/>
                <w:color w:val="auto"/>
                <w:sz w:val="24"/>
                <w:highlight w:val="none"/>
              </w:rPr>
              <w:t>竞标保证金：</w:t>
            </w:r>
            <w:r>
              <w:rPr>
                <w:rFonts w:hint="eastAsia" w:ascii="宋体" w:hAnsi="宋体" w:eastAsia="宋体" w:cs="宋体"/>
                <w:color w:val="auto"/>
                <w:sz w:val="24"/>
                <w:highlight w:val="none"/>
              </w:rPr>
              <w:t>无要求。</w:t>
            </w:r>
          </w:p>
          <w:p>
            <w:pPr>
              <w:ind w:firstLine="480" w:firstLineChars="200"/>
              <w:rPr>
                <w:rFonts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7</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14.4</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响应文件份数</w:t>
            </w:r>
            <w:r>
              <w:rPr>
                <w:rFonts w:hint="eastAsia" w:ascii="宋体" w:hAnsi="宋体" w:eastAsia="宋体" w:cs="宋体"/>
                <w:color w:val="auto"/>
                <w:sz w:val="24"/>
                <w:highlight w:val="none"/>
              </w:rPr>
              <w:t>：正本壹份，副本</w:t>
            </w:r>
            <w:r>
              <w:rPr>
                <w:rFonts w:hint="eastAsia" w:ascii="宋体" w:hAnsi="宋体" w:eastAsia="宋体" w:cs="宋体"/>
                <w:color w:val="auto"/>
                <w:sz w:val="24"/>
                <w:highlight w:val="none"/>
                <w:lang w:eastAsia="zh-CN"/>
              </w:rPr>
              <w:t>贰</w:t>
            </w:r>
            <w:r>
              <w:rPr>
                <w:rFonts w:hint="eastAsia" w:ascii="宋体" w:hAnsi="宋体" w:eastAsia="宋体" w:cs="宋体"/>
                <w:color w:val="auto"/>
                <w:sz w:val="24"/>
                <w:highlight w:val="none"/>
              </w:rPr>
              <w:t>份</w:t>
            </w:r>
          </w:p>
        </w:tc>
      </w:tr>
      <w:tr>
        <w:tblPrEx>
          <w:tblCellMar>
            <w:top w:w="0" w:type="dxa"/>
            <w:left w:w="108" w:type="dxa"/>
            <w:bottom w:w="0" w:type="dxa"/>
            <w:right w:w="108" w:type="dxa"/>
          </w:tblCellMar>
        </w:tblPrEx>
        <w:trPr>
          <w:trHeight w:val="764"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8</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竞标截止时间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详见竞争性谈判公告</w:t>
            </w:r>
          </w:p>
        </w:tc>
      </w:tr>
      <w:tr>
        <w:tblPrEx>
          <w:tblCellMar>
            <w:top w:w="0" w:type="dxa"/>
            <w:left w:w="108" w:type="dxa"/>
            <w:bottom w:w="0" w:type="dxa"/>
            <w:right w:w="108" w:type="dxa"/>
          </w:tblCellMar>
        </w:tblPrEx>
        <w:trPr>
          <w:trHeight w:val="1162"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9</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16.2</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响应文件递交地点：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江那小区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w:t>
            </w:r>
          </w:p>
        </w:tc>
      </w:tr>
      <w:tr>
        <w:tblPrEx>
          <w:tblCellMar>
            <w:top w:w="0" w:type="dxa"/>
            <w:left w:w="108" w:type="dxa"/>
            <w:bottom w:w="0" w:type="dxa"/>
            <w:right w:w="108" w:type="dxa"/>
          </w:tblCellMar>
        </w:tblPrEx>
        <w:trPr>
          <w:trHeight w:val="1291" w:hRule="atLeas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10</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18.1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谈判时间：</w:t>
            </w:r>
            <w:r>
              <w:rPr>
                <w:rFonts w:hint="eastAsia" w:ascii="宋体" w:hAnsi="宋体" w:eastAsia="宋体" w:cs="宋体"/>
                <w:color w:val="auto"/>
                <w:sz w:val="24"/>
                <w:highlight w:val="none"/>
              </w:rPr>
              <w:t>截标后，谈判地点：</w:t>
            </w:r>
            <w:r>
              <w:rPr>
                <w:rFonts w:hint="eastAsia" w:ascii="宋体" w:hAnsi="宋体" w:eastAsia="宋体" w:cs="宋体"/>
                <w:color w:val="auto"/>
                <w:sz w:val="24"/>
                <w:szCs w:val="24"/>
                <w:highlight w:val="none"/>
                <w:u w:val="single"/>
                <w:lang w:eastAsia="zh-CN"/>
              </w:rPr>
              <w:t>隆林各族自治县中医医院</w:t>
            </w:r>
            <w:r>
              <w:rPr>
                <w:rFonts w:hint="eastAsia" w:ascii="宋体" w:hAnsi="宋体" w:eastAsia="宋体" w:cs="宋体"/>
                <w:color w:val="auto"/>
                <w:sz w:val="24"/>
                <w:szCs w:val="24"/>
                <w:highlight w:val="none"/>
                <w:u w:val="single"/>
                <w:lang w:val="en-US" w:eastAsia="zh-CN"/>
              </w:rPr>
              <w:t>会议室</w:t>
            </w:r>
            <w:r>
              <w:rPr>
                <w:rFonts w:hint="eastAsia" w:ascii="宋体" w:hAnsi="宋体" w:eastAsia="宋体" w:cs="宋体"/>
                <w:color w:val="auto"/>
                <w:sz w:val="24"/>
                <w:szCs w:val="24"/>
                <w:highlight w:val="none"/>
                <w:u w:val="single"/>
              </w:rPr>
              <w:t>。</w:t>
            </w:r>
          </w:p>
        </w:tc>
      </w:tr>
      <w:tr>
        <w:tblPrEx>
          <w:tblCellMar>
            <w:top w:w="0" w:type="dxa"/>
            <w:left w:w="108" w:type="dxa"/>
            <w:bottom w:w="0" w:type="dxa"/>
            <w:right w:w="108" w:type="dxa"/>
          </w:tblCellMar>
        </w:tblPrEx>
        <w:trPr>
          <w:trHeight w:val="1465"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11</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23</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rPr>
                <w:rFonts w:ascii="宋体" w:hAnsi="宋体" w:eastAsia="宋体" w:cs="宋体"/>
                <w:color w:val="auto"/>
                <w:sz w:val="24"/>
                <w:highlight w:val="none"/>
              </w:rPr>
            </w:pPr>
            <w:r>
              <w:rPr>
                <w:rFonts w:hint="eastAsia" w:ascii="宋体" w:hAnsi="宋体" w:eastAsia="宋体" w:cs="宋体"/>
                <w:b/>
                <w:color w:val="auto"/>
                <w:sz w:val="24"/>
                <w:highlight w:val="none"/>
              </w:rPr>
              <w:t>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办法</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通过资格性、符合性审查后，在质量和服务均能满足采购文件实质性响应要求的前提下，按最终评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报价</w:t>
            </w:r>
            <w:r>
              <w:rPr>
                <w:rFonts w:hint="eastAsia" w:ascii="宋体" w:hAnsi="宋体" w:eastAsia="宋体" w:cs="宋体"/>
                <w:b/>
                <w:bCs/>
                <w:color w:val="auto"/>
                <w:sz w:val="24"/>
                <w:szCs w:val="24"/>
                <w:highlight w:val="none"/>
              </w:rPr>
              <w:t>由低到高排列成交候选人顺序</w:t>
            </w:r>
            <w:r>
              <w:rPr>
                <w:rFonts w:hint="eastAsia" w:ascii="宋体" w:hAnsi="宋体" w:eastAsia="宋体" w:cs="宋体"/>
                <w:color w:val="auto"/>
                <w:sz w:val="24"/>
                <w:szCs w:val="24"/>
                <w:highlight w:val="none"/>
              </w:rPr>
              <w:t>，并依照次序确定成交人。</w:t>
            </w:r>
          </w:p>
        </w:tc>
      </w:tr>
      <w:tr>
        <w:tblPrEx>
          <w:tblCellMar>
            <w:top w:w="0" w:type="dxa"/>
            <w:left w:w="108" w:type="dxa"/>
            <w:bottom w:w="0" w:type="dxa"/>
            <w:right w:w="108" w:type="dxa"/>
          </w:tblCellMar>
        </w:tblPrEx>
        <w:trPr>
          <w:trHeight w:val="1983" w:hRule="exact"/>
        </w:trPr>
        <w:tc>
          <w:tcPr>
            <w:tcW w:w="7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12</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29.1</w:t>
            </w:r>
          </w:p>
        </w:tc>
        <w:tc>
          <w:tcPr>
            <w:tcW w:w="744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80" w:lineRule="exact"/>
              <w:ind w:firstLine="482" w:firstLineChars="200"/>
              <w:rPr>
                <w:rFonts w:hint="eastAsia" w:ascii="宋体" w:hAnsi="宋体" w:eastAsia="宋体" w:cs="宋体"/>
                <w:b/>
                <w:color w:val="auto"/>
                <w:sz w:val="24"/>
                <w:highlight w:val="none"/>
              </w:rPr>
            </w:pPr>
          </w:p>
          <w:p>
            <w:pPr>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rPr>
              <w:t>成交代理服务费：</w:t>
            </w:r>
            <w:r>
              <w:rPr>
                <w:rFonts w:hint="eastAsia" w:ascii="宋体" w:hAnsi="宋体" w:eastAsia="宋体" w:cs="宋体"/>
                <w:b/>
                <w:color w:val="auto"/>
                <w:sz w:val="24"/>
                <w:highlight w:val="none"/>
                <w:lang w:val="en-US" w:eastAsia="zh-CN"/>
              </w:rPr>
              <w:t>无</w:t>
            </w:r>
            <w:r>
              <w:rPr>
                <w:rFonts w:hint="eastAsia" w:ascii="宋体" w:hAnsi="宋体" w:eastAsia="宋体" w:cs="宋体"/>
                <w:color w:val="auto"/>
                <w:sz w:val="24"/>
                <w:szCs w:val="24"/>
                <w:highlight w:val="none"/>
              </w:rPr>
              <w:t>。</w:t>
            </w:r>
          </w:p>
          <w:p>
            <w:pPr>
              <w:pStyle w:val="2"/>
              <w:ind w:left="0" w:leftChars="0" w:firstLine="0" w:firstLineChars="0"/>
              <w:rPr>
                <w:rFonts w:ascii="宋体" w:hAnsi="宋体" w:eastAsia="宋体" w:cs="宋体"/>
                <w:color w:val="auto"/>
                <w:highlight w:val="none"/>
              </w:rPr>
            </w:pPr>
          </w:p>
        </w:tc>
      </w:tr>
    </w:tbl>
    <w:p>
      <w:pPr>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highlight w:val="none"/>
        </w:rPr>
        <w:t>一、总则</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l. 项目综合说明</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 项目的说明见竞标须知前附表（以下称“前附表”）第1项所述。</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2. 资金来源及落实情况</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2.1 本项目的资金来源为</w:t>
      </w:r>
      <w:r>
        <w:rPr>
          <w:rFonts w:hint="eastAsia" w:ascii="宋体" w:hAnsi="宋体" w:eastAsia="宋体" w:cs="宋体"/>
          <w:color w:val="auto"/>
          <w:sz w:val="24"/>
          <w:highlight w:val="none"/>
          <w:u w:val="single"/>
        </w:rPr>
        <w:t>2025年中央补助广西医疗服务与保障能力提升资金 ，资金</w:t>
      </w:r>
      <w:r>
        <w:rPr>
          <w:rFonts w:hint="eastAsia" w:ascii="宋体" w:hAnsi="宋体" w:eastAsia="宋体" w:cs="宋体"/>
          <w:color w:val="auto"/>
          <w:sz w:val="24"/>
          <w:highlight w:val="none"/>
        </w:rPr>
        <w:t>已落实，并将资金用于本项目合同项下的合理支付。</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 供应商资质与合格条件的要求</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  符合《中华人民共和国政府采购法》第二十二条规定；</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  国内注册（指按国家有关规定要求注册的），合法运营在法律上、财务上独立的，具有生产或经营本次采购货物供应商；</w:t>
      </w:r>
    </w:p>
    <w:p>
      <w:pPr>
        <w:widowControl w:val="0"/>
        <w:spacing w:after="80"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  对在“信用中国”网站(http://www.creditchina.gov.cn)、中国政府采购网(http://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  单位负责人为同一人或者存在直接控股、管理关系的不同供应商，不得参加同一合同项下的政府采购活动。</w:t>
      </w:r>
    </w:p>
    <w:p>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4. 语言文字及计量单位</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除专用术语外，与采购有关的语言均使用中文。必要时专用术语应附有中文注释。所有计量均采用中华人民共和国法定计量单位。</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5. 竞标费用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5.1 供应商准备和参加竞标活动所发生的一切费用自理，不管竞标结果如何，采购人及采购代理机构对上述费用不负任何责任。</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6. 现场勘查 </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6.1 建议供应商自行对项目现场和其周围环境进行现场勘查，以获取有关编制响应文件和签署实施项目合同所需的各种资料。供应商应承担现场勘查的责任和风险。勘查现场的费用由供应商自己承担。</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二、竞争性谈判文件</w:t>
      </w:r>
    </w:p>
    <w:p>
      <w:pPr>
        <w:spacing w:line="44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7. 竞争性谈判文件的组成</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7.1 竞争性谈判文件包括下列内容：</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第一章 竞争性谈判公告</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第二章 竞标须知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第三章 货物需求一览表</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第四章  合同协议书</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7.2 除本竞标须知第7.1款所述的竞争性谈判文件内容外，采购人在采购期间、符合法定时间发出的答疑、澄清、修改或补充内容，均是竞争性谈判文件的组成部分，对采购人和供应商起约束作用根据本章第8条、第9条对竞争性谈判文件所作的澄清、修改，构成竞争性谈判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7.3 供应商应认真审阅竞争性谈判文件。如果供应商编制的响应文件不符合竞争性谈判文件的要求，责任由供应商自负。实质上不响应竞争性谈判文件要求的响应文件将被采购人拒绝。</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8 竞争性谈判文件的澄清</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8.1 供应商应仔细阅读和检查竞争性谈判文件的全部内容。如发现缺页或附件不全，应及时向采购人或采购代理机构提出，以便补齐。如有疑问，应于购买竞争性谈判文件时间截止后3天内，以书面形式（包括书面文字、传真、电报等，下同），要求采购人或采购代理机构予以澄清。</w:t>
      </w:r>
    </w:p>
    <w:p>
      <w:pPr>
        <w:spacing w:after="0" w:line="4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 竞争性谈判文件的澄清将在竞标截止时间3个工作日前以书面形式发给所有购买竞争性谈判文件的供应商，采购代理机构以书面形式通知所有谈判文件收受人。该澄清的内容为谈判文件的组成部分。但不指明澄清问题的来源。如果澄清发出的时间距竞标截止时间不足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8.3 供应商在收到澄清后，应在收到的同时以书面形式通知采购人或采购代理机构，确认己收到该澄清。</w:t>
      </w:r>
    </w:p>
    <w:p>
      <w:pPr>
        <w:spacing w:after="0" w:line="48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9. 竞争性谈判文件的修改</w:t>
      </w:r>
    </w:p>
    <w:p>
      <w:pPr>
        <w:pStyle w:val="12"/>
        <w:spacing w:line="480" w:lineRule="exact"/>
        <w:ind w:firstLine="420"/>
        <w:rPr>
          <w:rFonts w:hAnsi="宋体" w:cs="宋体"/>
          <w:color w:val="auto"/>
          <w:sz w:val="24"/>
          <w:szCs w:val="24"/>
          <w:highlight w:val="none"/>
        </w:rPr>
      </w:pPr>
      <w:r>
        <w:rPr>
          <w:rFonts w:hint="eastAsia" w:hAnsi="宋体" w:cs="宋体"/>
          <w:color w:val="auto"/>
          <w:sz w:val="24"/>
          <w:szCs w:val="24"/>
          <w:highlight w:val="none"/>
        </w:rPr>
        <w:t>9.1 在竞标截止时间3个工作日前，采购人可以书面形式修改竞争性谈判文件，采购代理机构对已发出的谈判文件进行必要修改的，在谈判文件要求提交响应文件截止时间3个工作日前，以书面形式通知所有谈判文件收受人。该修改的内容为谈判文件的组成部分。并通知所有已购买竞争性谈判文件的供应商。如果修改竞争性谈判文件的时间距竞标截止时间不足 3工作日，相应延长竞标截止时间。</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9.2 供应商在收到修改内容后，应在收到的同时以书面形式通知采购人或采购代理机构，确认己收到该修改。</w:t>
      </w:r>
    </w:p>
    <w:p>
      <w:pPr>
        <w:spacing w:line="38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 xml:space="preserve"> 三、响应文件</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10. 响应文件的组成</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10.1</w:t>
      </w:r>
      <w:r>
        <w:rPr>
          <w:rFonts w:hint="eastAsia" w:ascii="宋体" w:hAnsi="宋体" w:eastAsia="宋体" w:cs="宋体"/>
          <w:color w:val="auto"/>
          <w:sz w:val="24"/>
          <w:highlight w:val="none"/>
        </w:rPr>
        <w:t xml:space="preserve">响应文件应分为报价文件、资格商务技术文件两个部分组成。供应商应仔细阅读采购文件的所有内容，按采购文件的要求，详细编制响应文件。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（1）报价文件：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2）竞标报价表；（必须提供，否则响应文件按无效处理）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3）供应商认为必要提供的声明及文件资料。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 xml:space="preserve">（2）资格商务技术文件： </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1）竞标声明；（必须提供，否则响应文件按无效处理）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2）法定代表人（负责人）授权委托书和委托代理人身份证复印件（委托代理时必须提供，格式见第六章），法定代表人（负责人）参加谈判时，提供法定代表人（负责人）身份证明书和身份证复印件；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3）供应商有效的加载社会统一代码的营业执照或事业单位法人证书等主体资格证明副本复印件； （必须提供，否则响应文件按无效处理）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4）供应商依法缴纳税收的相关材料（</w:t>
      </w:r>
      <w:r>
        <w:rPr>
          <w:rFonts w:hint="eastAsia" w:ascii="宋体" w:hAnsi="宋体" w:eastAsia="宋体" w:cs="宋体"/>
          <w:color w:val="auto"/>
          <w:sz w:val="24"/>
          <w:highlight w:val="none"/>
          <w:lang w:eastAsia="zh-CN"/>
        </w:rPr>
        <w:t>提供</w:t>
      </w:r>
      <w:r>
        <w:rPr>
          <w:rFonts w:hint="eastAsia" w:ascii="宋体" w:hAnsi="宋体" w:eastAsia="宋体" w:cs="宋体"/>
          <w:color w:val="auto"/>
          <w:sz w:val="24"/>
          <w:highlight w:val="none"/>
        </w:rPr>
        <w:t>近半年内任意3个月的依法缴纳税收的凭据复印件；依法免税的，必须提供相应文件证明其依法免税。从成立之日起到响应文件提交截止时间止不足要求月数的，只需提供从成立之日起的依法缴纳税收相应证明文件）；（必须提供，否则响应文件按无效处理）</w:t>
      </w:r>
    </w:p>
    <w:p>
      <w:pPr>
        <w:spacing w:after="0" w:line="480" w:lineRule="exact"/>
        <w:ind w:firstLine="48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供应商依法缴纳社会保障资金的相关材料[提供近半年内任意3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必须提供，否则作无效响应处理</w:t>
      </w:r>
      <w:r>
        <w:rPr>
          <w:rFonts w:hint="eastAsia" w:ascii="宋体" w:hAnsi="宋体" w:eastAsia="宋体" w:cs="宋体"/>
          <w:color w:val="auto"/>
          <w:sz w:val="24"/>
          <w:highlight w:val="none"/>
          <w:lang w:eastAsia="zh-CN"/>
        </w:rPr>
        <w:t>）</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）供应商202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年财务状况报告复印件（供应商是法人的，或可提供财务报告或其基本开户银行出具的资信证明；供应商是其他组织和自然人的，提供财务报告或者银行出具的资信证明；对于从取得营业执照时间起到提交响应文件截止时间为止不足要求年数的，只需提交取得营业执照之日起至所要求最近月份的财务报告）； （必须提供，否则响应文件按无效处理）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）供应商参加政府采购活动前 3 年内在经营活动中没有重大违法记录的书面声明；（必须提供，否则响应文件按无效处理）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）供应商直接控股、管理关系信息表（必须提供，否则响应文件按无效处理）；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）无串通行为承诺函（必须提供，否则响应文件按无效处理）；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）商务要求偏离表（必须提供，否则响应文件按无效处理）；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）货物配置清单（均不含报价）；（必须提供，否则响应文件按无效处理）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）技术要求偏离表；（必须提供，否则响应文件按无效处理）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）售后服务承诺书（内容可以是提供的切实可行的售后服务和优惠承诺）；（必须提供，否则响应文件按无效处理）</w:t>
      </w:r>
    </w:p>
    <w:p>
      <w:pPr>
        <w:spacing w:after="0" w:line="48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ascii="Segoe UI" w:hAnsi="Segoe UI" w:eastAsia="Segoe UI" w:cs="Segoe UI"/>
          <w:i w:val="0"/>
          <w:iCs w:val="0"/>
          <w:caps w:val="0"/>
          <w:spacing w:val="0"/>
          <w:sz w:val="24"/>
          <w:szCs w:val="24"/>
          <w:shd w:val="clear" w:fill="FFFFFF"/>
        </w:rPr>
        <w:t>制造商授权书（若供应商为非制造商，必须提供制造商出具的针对本项目的唯一授权书原件；若供应商为制造商，需提供制造商身份证明材料，否则响应文件按无效处理）；</w:t>
      </w:r>
    </w:p>
    <w:p>
      <w:pPr>
        <w:spacing w:after="0" w:line="48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供应商认为需要提供的其他有关资料。（如有请提供）</w:t>
      </w:r>
    </w:p>
    <w:p>
      <w:pPr>
        <w:spacing w:after="0" w:line="480" w:lineRule="exact"/>
        <w:ind w:firstLine="480"/>
        <w:rPr>
          <w:rFonts w:ascii="宋体" w:hAnsi="宋体" w:eastAsia="宋体" w:cs="宋体"/>
          <w:color w:val="auto"/>
          <w:sz w:val="24"/>
          <w:highlight w:val="none"/>
        </w:rPr>
      </w:pPr>
      <w:r>
        <w:rPr>
          <w:rFonts w:hint="eastAsia" w:ascii="宋体" w:hAnsi="宋体" w:cs="宋体"/>
          <w:b/>
          <w:color w:val="auto"/>
          <w:szCs w:val="21"/>
          <w:highlight w:val="none"/>
        </w:rPr>
        <w:t>注：以上标明“必须提供”材料复印件的，必须加盖供应商公章，否则响应文件按无效处理。</w:t>
      </w:r>
    </w:p>
    <w:p>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10.2 供应商应按照响应文件格式和顺序，自行编制响应文件，响应文件应包含本须知第10.1条中规定的内容，但表格可以按同样格式扩展。</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11. 竞标报价</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11.1响应文件中的报价均采用人民币表示。</w:t>
      </w:r>
    </w:p>
    <w:p>
      <w:pPr>
        <w:spacing w:line="44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b/>
          <w:color w:val="auto"/>
          <w:sz w:val="24"/>
          <w:szCs w:val="24"/>
          <w:highlight w:val="none"/>
        </w:rPr>
        <w:t>2竞标报价为供应商在响应文件中提出的各项支付金额的总和（包含税金及其它所有成本费用的总和）；</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11.3 供应商的竞标报价，应是完成前附表第1项所列的范围及服务期的全部，不得以任何理由予以重复，作为供应商计算竞标报价的依据；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11.4供应商可根据市场行情及自身情况，自行决定其竞标报价。</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12. 竞标有效期</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12.1 在前附表第5项规定的竞标有效期内，供应商不得要求撤销或修改其响应文件。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12.2 出现特殊情况需要延长竞标有效期的，采购人以书面形式通知所有供应商延长竞标有效期。供应商同意延长的，应相应延长其竞标保证金的有效期，但不得要求或被允许修改或撤销其响应文件；供应商拒绝延长的，其报价失效，但供应商有权收回其竞标保证金。</w:t>
      </w:r>
    </w:p>
    <w:p>
      <w:pPr>
        <w:spacing w:line="440" w:lineRule="exact"/>
        <w:rPr>
          <w:rFonts w:ascii="宋体" w:hAnsi="宋体" w:eastAsia="宋体" w:cs="宋体"/>
          <w:color w:val="auto"/>
          <w:sz w:val="24"/>
          <w:szCs w:val="22"/>
          <w:highlight w:val="none"/>
        </w:rPr>
      </w:pPr>
      <w:r>
        <w:rPr>
          <w:rFonts w:hint="eastAsia" w:ascii="宋体" w:hAnsi="宋体" w:eastAsia="宋体" w:cs="宋体"/>
          <w:b/>
          <w:color w:val="auto"/>
          <w:sz w:val="24"/>
          <w:highlight w:val="none"/>
        </w:rPr>
        <w:t>13. 竞标保证金</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szCs w:val="22"/>
          <w:highlight w:val="none"/>
          <w:lang w:val="en-US" w:eastAsia="zh-CN"/>
        </w:rPr>
        <w:t>无</w:t>
      </w:r>
      <w:r>
        <w:rPr>
          <w:rFonts w:hint="eastAsia" w:ascii="宋体" w:hAnsi="宋体" w:eastAsia="宋体" w:cs="宋体"/>
          <w:color w:val="auto"/>
          <w:sz w:val="24"/>
          <w:szCs w:val="22"/>
          <w:highlight w:val="none"/>
        </w:rPr>
        <w:t xml:space="preserve">。   </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14. 响应文件编制</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14.1 响应文件应按第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章“响应文件格式”进行编写，如有必要，可以增加附页，作为响应文件的组成部分。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14.2 响应文件应当对竞争性谈判文件有关服务期、竞标有效期、质量要求、技术标准、采购范围等实质性内容作出响应。</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14.3 响应文件应使用不能擦去的墨水书写或打印并加盖单位章，竞争性谈判文件中要求供应商的法定代表人或其委托代理人签字的项目须按要求签字确认。委托代理人签字的，响应文件应附法定代表人签字署名的授权委托书。响应文件应无涂改、行间插字或删除，如果出现上述情况，改动之处应加盖单位章或由供应商的法定代表人或其授权的代理人签字确认。</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14.4 响应文件正本一份，副本份数见前附表第7项要求。正本和副本的封面上应清楚地标记“正本”或“副本”的字样。当副本和正本不一致时，以正本为准。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14.5响应文件的正本与副本应分别装订成册，并编制目录和页码，要求装订标准规范。</w:t>
      </w:r>
    </w:p>
    <w:p>
      <w:pPr>
        <w:spacing w:line="38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b/>
          <w:color w:val="auto"/>
          <w:sz w:val="24"/>
          <w:highlight w:val="none"/>
        </w:rPr>
      </w:pPr>
      <w:r>
        <w:rPr>
          <w:rFonts w:hint="eastAsia" w:ascii="宋体" w:hAnsi="宋体" w:eastAsia="宋体" w:cs="宋体"/>
          <w:b/>
          <w:color w:val="auto"/>
          <w:sz w:val="28"/>
          <w:highlight w:val="none"/>
        </w:rPr>
        <w:t>四、竞标</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15. 响应文件的密封和标识</w:t>
      </w:r>
    </w:p>
    <w:p>
      <w:pPr>
        <w:autoSpaceDE w:val="0"/>
        <w:autoSpaceDN w:val="0"/>
        <w:spacing w:line="360" w:lineRule="exact"/>
        <w:ind w:firstLine="488"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15.1 响应文件</w:t>
      </w: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eastAsia="zh-CN"/>
        </w:rPr>
        <w:t>壹</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份）应密封在一个响应文件袋密封袋中，并在包装封口处盖密封章或供应商公章。</w:t>
      </w:r>
    </w:p>
    <w:p>
      <w:pPr>
        <w:autoSpaceDE w:val="0"/>
        <w:autoSpaceDN w:val="0"/>
        <w:spacing w:line="360" w:lineRule="exact"/>
        <w:ind w:firstLine="480" w:firstLineChars="200"/>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15.2在响应文件密封袋上应写明：</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项目名称：</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u w:val="single"/>
        </w:rPr>
      </w:pPr>
      <w:r>
        <w:rPr>
          <w:rFonts w:hint="eastAsia" w:ascii="宋体" w:hAnsi="宋体" w:eastAsia="宋体" w:cs="宋体"/>
          <w:color w:val="auto"/>
          <w:spacing w:val="2"/>
          <w:sz w:val="24"/>
          <w:highlight w:val="none"/>
        </w:rPr>
        <w:t>项目编号：</w:t>
      </w:r>
      <w:r>
        <w:rPr>
          <w:rFonts w:hint="eastAsia" w:ascii="宋体" w:hAnsi="宋体" w:eastAsia="宋体" w:cs="宋体"/>
          <w:color w:val="auto"/>
          <w:spacing w:val="2"/>
          <w:sz w:val="24"/>
          <w:highlight w:val="none"/>
          <w:u w:val="single"/>
        </w:rPr>
        <w:t xml:space="preserve">                             </w:t>
      </w:r>
    </w:p>
    <w:p>
      <w:pPr>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注：在开标时间以前不得开封。</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15.3 未按本章第15.1条或15.2条要求密封和加写标记，作无效竞标处理。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16. 响应文件的递交</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16.1 供应商应在前附表第8项规定的竞标截止时间前递交响应文件。凡逾期送达的响应文件代理机构将不予接收。</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16.2 供应商按前附表第9项规定的地点递交响应文件，并由采购人或采购代理机构签收</w:t>
      </w:r>
      <w:r>
        <w:rPr>
          <w:rFonts w:hint="eastAsia" w:ascii="宋体" w:hAnsi="宋体" w:eastAsia="宋体" w:cs="宋体"/>
          <w:bCs/>
          <w:color w:val="auto"/>
          <w:spacing w:val="2"/>
          <w:sz w:val="24"/>
          <w:highlight w:val="none"/>
        </w:rPr>
        <w:t>。</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16.3 除竞争性谈判文件另有规定外，供应商所递交的响应文件不予退还。</w:t>
      </w:r>
    </w:p>
    <w:p>
      <w:pPr>
        <w:spacing w:line="440" w:lineRule="exact"/>
        <w:ind w:firstLine="488"/>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16.4 未送达指定地点的响应文件，作无效竞标处理。</w:t>
      </w:r>
    </w:p>
    <w:p>
      <w:pPr>
        <w:spacing w:line="440" w:lineRule="exact"/>
        <w:rPr>
          <w:rFonts w:ascii="宋体" w:hAnsi="宋体" w:eastAsia="宋体" w:cs="宋体"/>
          <w:b/>
          <w:color w:val="auto"/>
          <w:spacing w:val="2"/>
          <w:sz w:val="24"/>
          <w:highlight w:val="none"/>
        </w:rPr>
      </w:pPr>
      <w:r>
        <w:rPr>
          <w:rFonts w:hint="eastAsia" w:ascii="宋体" w:hAnsi="宋体" w:eastAsia="宋体" w:cs="宋体"/>
          <w:b/>
          <w:color w:val="auto"/>
          <w:spacing w:val="2"/>
          <w:sz w:val="24"/>
          <w:highlight w:val="none"/>
        </w:rPr>
        <w:t>17. 响应文件的修改和撤回</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17.1 在前附表第8项规定的竞标截止时间前，供应商可以修改或撤回已递交的响应文件，但应以书面形式通知采购代理机构。</w:t>
      </w:r>
    </w:p>
    <w:p>
      <w:pPr>
        <w:spacing w:line="440" w:lineRule="exact"/>
        <w:ind w:firstLine="475"/>
        <w:rPr>
          <w:rFonts w:ascii="宋体" w:hAnsi="宋体" w:eastAsia="宋体" w:cs="宋体"/>
          <w:color w:val="auto"/>
          <w:spacing w:val="2"/>
          <w:sz w:val="24"/>
          <w:highlight w:val="none"/>
        </w:rPr>
      </w:pPr>
      <w:r>
        <w:rPr>
          <w:rFonts w:hint="eastAsia" w:ascii="宋体" w:hAnsi="宋体" w:eastAsia="宋体" w:cs="宋体"/>
          <w:color w:val="auto"/>
          <w:spacing w:val="2"/>
          <w:sz w:val="24"/>
          <w:highlight w:val="none"/>
        </w:rPr>
        <w:t>17.2 供应商修改或撤回已递交响应文件的书面通知应按照本章第15.3项的要求签字或盖章。采购代理机构收到书面通知后，向供应商出具签收凭证。</w:t>
      </w:r>
    </w:p>
    <w:p>
      <w:pPr>
        <w:spacing w:line="440" w:lineRule="exact"/>
        <w:ind w:firstLine="488"/>
        <w:rPr>
          <w:rFonts w:ascii="宋体" w:hAnsi="宋体" w:eastAsia="宋体" w:cs="宋体"/>
          <w:color w:val="auto"/>
          <w:sz w:val="24"/>
          <w:highlight w:val="none"/>
        </w:rPr>
      </w:pPr>
      <w:r>
        <w:rPr>
          <w:rFonts w:hint="eastAsia" w:ascii="宋体" w:hAnsi="宋体" w:eastAsia="宋体" w:cs="宋体"/>
          <w:color w:val="auto"/>
          <w:spacing w:val="2"/>
          <w:sz w:val="24"/>
          <w:highlight w:val="none"/>
        </w:rPr>
        <w:t>17.3 修改的内容为响应文件的组成部分。</w:t>
      </w:r>
    </w:p>
    <w:p>
      <w:pPr>
        <w:rPr>
          <w:rFonts w:ascii="宋体" w:hAnsi="宋体" w:eastAsia="宋体" w:cs="宋体"/>
          <w:color w:val="auto"/>
          <w:highlight w:val="none"/>
        </w:rPr>
      </w:pPr>
    </w:p>
    <w:p>
      <w:pPr>
        <w:spacing w:line="380" w:lineRule="exact"/>
        <w:ind w:firstLine="478" w:firstLineChars="195"/>
        <w:jc w:val="center"/>
        <w:outlineLvl w:val="2"/>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五、开标</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18、开标</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18.l</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将在前附表第10项规定的时间和地点组织谈判，参加谈判的法定代表人或其授权委托人必须持有效证件</w:t>
      </w:r>
      <w:r>
        <w:rPr>
          <w:rFonts w:hint="eastAsia" w:ascii="宋体" w:hAnsi="宋体" w:eastAsia="宋体" w:cs="宋体"/>
          <w:b/>
          <w:bCs/>
          <w:color w:val="auto"/>
          <w:sz w:val="24"/>
          <w:szCs w:val="24"/>
          <w:highlight w:val="none"/>
        </w:rPr>
        <w:t>[①法人身份证原件或授权委托书和委托代理人身份证原件；②营业执照复印件]</w:t>
      </w:r>
      <w:r>
        <w:rPr>
          <w:rFonts w:hint="eastAsia" w:ascii="宋体" w:hAnsi="宋体" w:eastAsia="宋体" w:cs="宋体"/>
          <w:color w:val="auto"/>
          <w:sz w:val="24"/>
          <w:szCs w:val="24"/>
          <w:highlight w:val="none"/>
        </w:rPr>
        <w:t>依时到达指定地点等候当面谈判 (上述材料未注明原件的为复印件，所有复印件必须加盖竞标单位公章.)依时到达现场等候参加谈判，并自觉接受核验上述证件。以上要求出示</w:t>
      </w:r>
      <w:r>
        <w:rPr>
          <w:rFonts w:hint="eastAsia" w:ascii="宋体" w:hAnsi="宋体" w:eastAsia="宋体" w:cs="宋体"/>
          <w:color w:val="auto"/>
          <w:spacing w:val="2"/>
          <w:sz w:val="24"/>
          <w:szCs w:val="24"/>
          <w:highlight w:val="none"/>
        </w:rPr>
        <w:t>证明材料如缺项或无效的</w:t>
      </w:r>
      <w:r>
        <w:rPr>
          <w:rFonts w:hint="eastAsia" w:ascii="宋体" w:hAnsi="宋体" w:eastAsia="宋体" w:cs="宋体"/>
          <w:color w:val="auto"/>
          <w:sz w:val="24"/>
          <w:szCs w:val="24"/>
          <w:highlight w:val="none"/>
        </w:rPr>
        <w:t>将视为竞标无效</w:t>
      </w:r>
      <w:r>
        <w:rPr>
          <w:rFonts w:hint="eastAsia" w:ascii="宋体" w:hAnsi="宋体" w:eastAsia="宋体" w:cs="宋体"/>
          <w:color w:val="auto"/>
          <w:spacing w:val="2"/>
          <w:sz w:val="24"/>
          <w:szCs w:val="24"/>
          <w:highlight w:val="none"/>
        </w:rPr>
        <w:t>，该供应商的响应文件当场退回。</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18.2开标会议由采购代理机构组织并主持，在</w:t>
      </w:r>
      <w:r>
        <w:rPr>
          <w:rFonts w:hint="eastAsia" w:ascii="宋体" w:hAnsi="宋体" w:eastAsia="宋体" w:cs="宋体"/>
          <w:color w:val="auto"/>
          <w:spacing w:val="2"/>
          <w:sz w:val="24"/>
          <w:szCs w:val="24"/>
          <w:highlight w:val="none"/>
          <w:u w:val="single"/>
        </w:rPr>
        <w:t>相关监督部门</w:t>
      </w:r>
      <w:r>
        <w:rPr>
          <w:rFonts w:hint="eastAsia" w:ascii="宋体" w:hAnsi="宋体" w:eastAsia="宋体" w:cs="宋体"/>
          <w:color w:val="auto"/>
          <w:spacing w:val="2"/>
          <w:sz w:val="24"/>
          <w:szCs w:val="24"/>
          <w:highlight w:val="none"/>
        </w:rPr>
        <w:t>监督下，对响应文件进行检查，确认它们是否完整，是否按要求提交了竞标保证金，文件签署是否正确，以及是否按本须知编制。但按规定提交了合格撤回通知的响应文件不予开封。</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18.3谈判会议程序</w:t>
      </w:r>
    </w:p>
    <w:p>
      <w:pPr>
        <w:spacing w:line="380" w:lineRule="exact"/>
        <w:ind w:firstLine="468" w:firstLine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18.3.1　</w:t>
      </w:r>
      <w:r>
        <w:rPr>
          <w:rFonts w:hint="eastAsia" w:ascii="宋体" w:hAnsi="宋体" w:eastAsia="宋体" w:cs="宋体"/>
          <w:color w:val="auto"/>
          <w:spacing w:val="2"/>
          <w:sz w:val="24"/>
          <w:szCs w:val="24"/>
          <w:highlight w:val="none"/>
        </w:rPr>
        <w:t>⑴ 采购代理机构主持人宣布会议开始；</w:t>
      </w:r>
    </w:p>
    <w:p>
      <w:pPr>
        <w:spacing w:line="380" w:lineRule="exact"/>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⑵介绍参加谈判会议人员名单；</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⑶</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和监标人员一同检验参加竞标会的各竞标单位法定代表人或其委托代理人（按18.1检查）的资格证件，对无资格证件、证件不齐</w:t>
      </w:r>
      <w:r>
        <w:rPr>
          <w:rFonts w:hint="eastAsia" w:ascii="宋体" w:hAnsi="宋体" w:eastAsia="宋体" w:cs="宋体"/>
          <w:color w:val="auto"/>
          <w:sz w:val="24"/>
          <w:szCs w:val="24"/>
          <w:highlight w:val="none"/>
        </w:rPr>
        <w:t>或无效</w:t>
      </w:r>
      <w:r>
        <w:rPr>
          <w:rFonts w:hint="eastAsia" w:ascii="宋体" w:hAnsi="宋体" w:eastAsia="宋体" w:cs="宋体"/>
          <w:color w:val="auto"/>
          <w:spacing w:val="2"/>
          <w:sz w:val="24"/>
          <w:szCs w:val="24"/>
          <w:highlight w:val="none"/>
        </w:rPr>
        <w:t>的响应文件按无效标处理；</w:t>
      </w:r>
      <w:r>
        <w:rPr>
          <w:rFonts w:hint="eastAsia" w:ascii="宋体" w:hAnsi="宋体" w:eastAsia="宋体" w:cs="宋体"/>
          <w:color w:val="auto"/>
          <w:sz w:val="24"/>
          <w:szCs w:val="24"/>
          <w:highlight w:val="none"/>
        </w:rPr>
        <w:t>其响应文件将于开标结束后予以退还。</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⑷采购代理机构当众宣布核查结果，并宣读有效竞标的供应商名称、竞标保证金以及采购代理机构认为需要宣布的其他内容；</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⑸由各竞标单位代表各自检验自己响应文件密封的完整性；</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⑹由</w:t>
      </w:r>
      <w:r>
        <w:rPr>
          <w:rFonts w:hint="eastAsia" w:ascii="宋体" w:hAnsi="宋体" w:eastAsia="宋体" w:cs="宋体"/>
          <w:color w:val="auto"/>
          <w:sz w:val="24"/>
          <w:szCs w:val="24"/>
          <w:highlight w:val="none"/>
        </w:rPr>
        <w:t>采购单位代表</w:t>
      </w:r>
      <w:r>
        <w:rPr>
          <w:rFonts w:hint="eastAsia" w:ascii="宋体" w:hAnsi="宋体" w:eastAsia="宋体" w:cs="宋体"/>
          <w:color w:val="auto"/>
          <w:spacing w:val="2"/>
          <w:sz w:val="24"/>
          <w:szCs w:val="24"/>
          <w:highlight w:val="none"/>
        </w:rPr>
        <w:t xml:space="preserve">和监标人员一同检验清点核对响应文件密封情况是否完整，文件签署是否正确，并宣读核查结果，请竞标供应商书面确认后退场。竞标供应商退场后移步谈判等候区，等待下一阶段的技术方案谈判及商务谈判。 </w:t>
      </w:r>
    </w:p>
    <w:p>
      <w:pPr>
        <w:spacing w:line="360" w:lineRule="auto"/>
        <w:ind w:firstLine="475" w:firstLineChars="195"/>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(7)宣布谈判与</w:t>
      </w:r>
      <w:r>
        <w:rPr>
          <w:rFonts w:hint="eastAsia" w:ascii="宋体" w:hAnsi="宋体" w:eastAsia="宋体" w:cs="宋体"/>
          <w:color w:val="auto"/>
          <w:spacing w:val="2"/>
          <w:sz w:val="24"/>
          <w:szCs w:val="24"/>
          <w:highlight w:val="none"/>
          <w:lang w:eastAsia="zh-CN"/>
        </w:rPr>
        <w:t>评审</w:t>
      </w:r>
      <w:r>
        <w:rPr>
          <w:rFonts w:hint="eastAsia" w:ascii="宋体" w:hAnsi="宋体" w:eastAsia="宋体" w:cs="宋体"/>
          <w:color w:val="auto"/>
          <w:spacing w:val="2"/>
          <w:sz w:val="24"/>
          <w:szCs w:val="24"/>
          <w:highlight w:val="none"/>
        </w:rPr>
        <w:t>期间的有关事项；</w:t>
      </w:r>
    </w:p>
    <w:p>
      <w:pPr>
        <w:spacing w:line="360" w:lineRule="auto"/>
        <w:ind w:firstLine="488" w:firstLineChars="200"/>
        <w:rPr>
          <w:rFonts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（8）开标会议结束；</w:t>
      </w:r>
    </w:p>
    <w:p>
      <w:pPr>
        <w:spacing w:line="360" w:lineRule="auto"/>
        <w:ind w:firstLine="480" w:firstLineChars="200"/>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18.3.2</w:t>
      </w:r>
      <w:r>
        <w:rPr>
          <w:rFonts w:hint="eastAsia" w:ascii="宋体" w:hAnsi="宋体" w:eastAsia="宋体" w:cs="宋体"/>
          <w:color w:val="auto"/>
          <w:spacing w:val="2"/>
          <w:sz w:val="24"/>
          <w:szCs w:val="24"/>
          <w:highlight w:val="none"/>
        </w:rPr>
        <w:t>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①出席评审的有关人员为谈判小组成员。竞标单位在谈判期间提交的密封的所有响应文件须经谈判小组成员和监督人员同时验证后方能拆封，任何个人不得私自拆封。 </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②谈判时，竞标单位的法人代表或委托代理人必须参加谈判。</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谈判小组通过对各竞标单位的响应文件进行初步审查后，谈判双方以竞争性谈判条件为依据，由竞标单位对提交的响应文件及服务承诺等做出陈述。谈判小组将根据竞标单位的响应文件、陈述尚未明晰或需要进一步了解的细节列出与各竞标单位谈判的提纲并向竞标单位询问，竞标单位应依次对谈判小组提出的问题做出答复，必要时要求竞标单位对其竞标内容、补充方案或修改意见做出书面澄清。同时代理机构工作人员对谈判内容做好记录并将此记录交由谈判小组及竞标单位核实，核实无误后由竞标单位代表签字作为书面应答文件（将作为合同的组成部分）。</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④二次报价：</w:t>
      </w:r>
      <w:r>
        <w:rPr>
          <w:rFonts w:hint="eastAsia" w:ascii="宋体" w:hAnsi="宋体" w:eastAsia="宋体" w:cs="宋体"/>
          <w:bCs/>
          <w:color w:val="auto"/>
          <w:sz w:val="24"/>
          <w:szCs w:val="24"/>
          <w:highlight w:val="none"/>
        </w:rPr>
        <w:t>谈判小组应在商务、技术和服务条件谈判后，邀请能满足采购文件所规定实质性要求的质量和服务的所有供应商进行二次报价。</w:t>
      </w:r>
    </w:p>
    <w:p>
      <w:pPr>
        <w:spacing w:line="380" w:lineRule="exact"/>
        <w:ind w:firstLine="470" w:firstLineChars="19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18.4谈判原则</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18.4.1、必须公平、公正、客观，不带任何倾向性和启发性；</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18.4.2、谈判人员不得向外界透露任何与谈判有关的内容； </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18.4.3、任何单位和个人不得干扰、影响谈判的正常进行；</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18.4.4、谈判人员不得私下与竞标单位接触。</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   响应文件有下列情况之一者将视为竞标无效：</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.5.1 响应文件未按规定封装、密封；</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.5.2 竞标单位法定代表人或其委托代理人未签字；</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.5.3 竞标单位未加盖单位公章；</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.5.4 未按规定的格式填写或者字迹模糊、辨认不清；</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.5.5 供应商未按竞争性谈判文件的规定递交竞标保证金的；</w:t>
      </w:r>
    </w:p>
    <w:p>
      <w:pPr>
        <w:spacing w:line="380" w:lineRule="exact"/>
        <w:ind w:left="908" w:leftChars="200" w:hanging="468" w:hangingChars="195"/>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.5.6 供应商法定代表人或授权代表未按时参加开标会议的；</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.5.7 竞标截止时间以后送达的响应文件；</w:t>
      </w:r>
    </w:p>
    <w:p>
      <w:pPr>
        <w:spacing w:line="380" w:lineRule="exact"/>
        <w:ind w:firstLine="470" w:firstLineChars="196"/>
        <w:rPr>
          <w:rFonts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pacing w:val="2"/>
          <w:sz w:val="24"/>
          <w:szCs w:val="24"/>
          <w:highlight w:val="none"/>
        </w:rPr>
        <w:t>.5.8 响应文件内容不真实；</w:t>
      </w:r>
    </w:p>
    <w:p>
      <w:pPr>
        <w:spacing w:line="38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18.5.9 </w:t>
      </w:r>
      <w:r>
        <w:rPr>
          <w:rFonts w:hint="eastAsia" w:ascii="宋体" w:hAnsi="宋体" w:eastAsia="宋体" w:cs="宋体"/>
          <w:color w:val="auto"/>
          <w:spacing w:val="2"/>
          <w:sz w:val="24"/>
          <w:szCs w:val="24"/>
          <w:highlight w:val="none"/>
        </w:rPr>
        <w:t>响应文件不满足供应商最低资质等级和</w:t>
      </w:r>
      <w:r>
        <w:rPr>
          <w:rFonts w:hint="eastAsia" w:ascii="宋体" w:hAnsi="宋体" w:eastAsia="宋体" w:cs="宋体"/>
          <w:color w:val="auto"/>
          <w:sz w:val="24"/>
          <w:szCs w:val="24"/>
          <w:highlight w:val="none"/>
        </w:rPr>
        <w:t>营业执照要求。</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18.5.10供应商营业执照等资格文件不符合要求及复印件未加盖供应商公章的。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18.5.11超出采购控制价的。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18.5.12不符合法律法规规定的及竞争性谈判文件其它实质性内容的。</w:t>
      </w:r>
    </w:p>
    <w:p>
      <w:pPr>
        <w:spacing w:line="380" w:lineRule="exact"/>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18.6至竞标截止时间止，递交响应文件的竞标单位不足三家时，本项目不予开标作废标处理，需要采取其他方式采购的，应当在采购活动开始前获得设区的市、自治州以上人民政府采购监督管理部门或者政府有关部门批准。</w:t>
      </w:r>
    </w:p>
    <w:p>
      <w:pPr>
        <w:spacing w:line="380" w:lineRule="exact"/>
        <w:ind w:firstLine="468" w:firstLineChars="195"/>
        <w:jc w:val="center"/>
        <w:outlineLvl w:val="2"/>
        <w:rPr>
          <w:rFonts w:ascii="宋体" w:hAnsi="宋体" w:eastAsia="宋体" w:cs="宋体"/>
          <w:color w:val="auto"/>
          <w:sz w:val="24"/>
          <w:szCs w:val="24"/>
          <w:highlight w:val="none"/>
        </w:rPr>
      </w:pPr>
    </w:p>
    <w:p>
      <w:pPr>
        <w:spacing w:line="380" w:lineRule="exact"/>
        <w:ind w:firstLine="470" w:firstLineChars="195"/>
        <w:jc w:val="center"/>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六、评  审</w:t>
      </w:r>
    </w:p>
    <w:p>
      <w:pPr>
        <w:spacing w:line="380" w:lineRule="exact"/>
        <w:rPr>
          <w:rFonts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19、评审内容的保密</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19.1 进入评审后，直到宣布授予成交人合同为止，凡属于审查、澄清、评价和比较竞标的有关资料及有关授予合同的信息，都不应向供应商或与评审无关的其他人泄露。</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19.2 在响应文件的审查、澄清、评价和比较以及授予合同的过程中，供应商对谈判小组成员施加影响的任何行为，都将导致被取消竞标资格。</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20、资格审查</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20.1本项目资格审查采用资格后审，参加本次竞标的单位均要通过资格审查才能获得竞标资格。</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20.2资格审查内容为：</w:t>
      </w:r>
      <w:r>
        <w:rPr>
          <w:rFonts w:hint="eastAsia" w:ascii="宋体" w:hAnsi="宋体" w:eastAsia="宋体" w:cs="宋体"/>
          <w:color w:val="auto"/>
          <w:spacing w:val="2"/>
          <w:sz w:val="24"/>
          <w:szCs w:val="24"/>
          <w:highlight w:val="none"/>
        </w:rPr>
        <w:t>按10.3条款资格审查部分内容审查，要求资料齐全和有效</w:t>
      </w:r>
      <w:r>
        <w:rPr>
          <w:rFonts w:hint="eastAsia" w:ascii="宋体" w:hAnsi="宋体" w:eastAsia="宋体" w:cs="宋体"/>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21、响应文件的符合性鉴定</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 在谈判之后详细</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之前，谈判小组将首先与供应商就响应文件中不清楚的内容进行谈判及澄清，然后将依据谈判及澄清的内容审定每份响应文件是否在实质上响应了竞争性谈判文件的要求。</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 就本条款而言，实质上响应要求的响应文件，应该与竞争性谈判文件的所规定资格条件、技术参数产生实质性影响；或者对合同中规定的采购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的权力及供应商的责任造成实质性限制。</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22、响应文件的澄清</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为了有助于响应文件的审查、评价和比较，谈判小组可以个别地要求供应商澄清其响应文件。有关澄清的要求与答复，应以书面形式进行。</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23、错误的修正</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23.1谈判小组将对确定为实质上响应竞争性谈判文件要求的响应文件进行校核，看其是否有计算上或累计上的算术错误，修正错误的原则如下：</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23.1.1 如果用阿拉伯数字表示的数额与用汉语文字表示的数额（人民币大写）不一致时，以汉语文字数额（人民币大写）为准。</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23.1.2 当单价与合价之间不一致时，以标出的单价为准。除非谈判小组或</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小组认为有明显的小数点错位，此时应以标出的合价为准，并修改单价。</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23.2 按上述修改错误的方法，调整竞标书中的竞标报价。经供应商确认同意后，调整后的报价对供应商起约束作用。如果供应商不接受修正后的竞标报价则其竞标将被拒绝，视为无效竞标。</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23.3 响应文件正本与响应文件副本不符的以正本为准。</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24、响应文件的评价与比较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24.1谈判小组将仅对响应文件组成第10条确定为实质上响应竞争性谈判文件要求（即符合性鉴定合格）的响应文件进行评价与比较。</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24.2 谈判小组将依照响应文件组成第10条对通过符合性鉴定的响应文件的竞标报价进行校核与修正。</w:t>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25、评审办法 </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25.1、评审原则</w:t>
      </w:r>
    </w:p>
    <w:p>
      <w:pPr>
        <w:spacing w:line="360" w:lineRule="auto"/>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(1)谈判小组构成：</w:t>
      </w:r>
      <w:r>
        <w:rPr>
          <w:rFonts w:hint="eastAsia" w:ascii="宋体" w:hAnsi="宋体" w:eastAsia="宋体" w:cs="宋体"/>
          <w:bCs/>
          <w:color w:val="auto"/>
          <w:sz w:val="24"/>
          <w:szCs w:val="24"/>
          <w:highlight w:val="none"/>
        </w:rPr>
        <w:t>本采购项目</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委员会由采购人</w:t>
      </w:r>
      <w:r>
        <w:rPr>
          <w:rFonts w:hint="eastAsia" w:ascii="宋体" w:hAnsi="宋体" w:eastAsia="宋体" w:cs="宋体"/>
          <w:bCs/>
          <w:color w:val="auto"/>
          <w:sz w:val="24"/>
          <w:szCs w:val="24"/>
          <w:highlight w:val="none"/>
          <w:lang w:val="en-US" w:eastAsia="zh-CN"/>
        </w:rPr>
        <w:t>随机抽取</w:t>
      </w:r>
      <w:r>
        <w:rPr>
          <w:rFonts w:hint="eastAsia" w:ascii="宋体" w:hAnsi="宋体" w:eastAsia="宋体" w:cs="宋体"/>
          <w:bCs/>
          <w:color w:val="auto"/>
          <w:sz w:val="24"/>
          <w:szCs w:val="24"/>
          <w:highlight w:val="none"/>
        </w:rPr>
        <w:t>共3人以上单数组成，其中评审专家人数不得少于</w:t>
      </w:r>
      <w:r>
        <w:rPr>
          <w:rFonts w:hint="eastAsia" w:ascii="宋体" w:hAnsi="宋体" w:eastAsia="宋体" w:cs="宋体"/>
          <w:bCs/>
          <w:color w:val="auto"/>
          <w:sz w:val="24"/>
          <w:szCs w:val="24"/>
          <w:highlight w:val="none"/>
          <w:lang w:eastAsia="zh-CN"/>
        </w:rPr>
        <w:t>评审</w:t>
      </w:r>
      <w:r>
        <w:rPr>
          <w:rFonts w:hint="eastAsia" w:ascii="宋体" w:hAnsi="宋体" w:eastAsia="宋体" w:cs="宋体"/>
          <w:bCs/>
          <w:color w:val="auto"/>
          <w:sz w:val="24"/>
          <w:szCs w:val="24"/>
          <w:highlight w:val="none"/>
        </w:rPr>
        <w:t>委员会成员总数的2/3。</w:t>
      </w:r>
    </w:p>
    <w:p>
      <w:pPr>
        <w:spacing w:line="380" w:lineRule="exact"/>
        <w:ind w:firstLine="468" w:firstLineChars="19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(2)评审依据：谈判小组将以竞争性谈判文件和响应文件为评定依据进行评审。</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25.2、评审方法</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（1）初步评审：谈判小组应当按照客观、公正、审慎的原则，根据采购文件规定的评审程序、评审方法和评审标准进行独立</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谈判小组对商务文件进行符合性鉴定，对实质上不响应竞争性谈判文件要求的竞标予以拒绝；谈判小组对竞标单位资格文件进行资格鉴定，对资格审查不响应竞争性谈判文件要求的竞标予以拒绝，对技术标进行评审，技术标评审按可行与不可行来评定，对技术标不可行的竞标予以拒绝。未实质性响应谈判文件的响应文件按无效处理，谈判小组应当告知有关供应商。谈判小组对响应文件的有效性、完整性和响应程度进行审查，记录有关情况，并拟定谈判策略，提出谈判问题。项目审查期间，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事务由依法组建的谈判小组负责,采购代理机构全程回避。</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正式谈判：谈判小组所有成员根据谈判策略，集中与通过初步评审的供应商分别进行谈判，并给予所有参加谈判的供应商平等的谈判机会，分别与每个供应商就技术、报价组成和合同条款等进行充分的谈判，确定供应商所提供的产品质量和服务是否能满足采购文件规定的实质性要求。谈判期间，相关监督部门对谈判过程全程进行监督，具体谈判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委员会负责,采购代理机构进行相关谈判记录。现场监督人员及采购代理机构的工作人员应当遵守</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现场工作纪律，不能出现越权行使</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委员会的权利，代替评委进行</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工作发表任何倾向性意见、向其他专家评委明示或者暗示自己的意见及其他干扰</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工作的行为，及政府采购法相关法律法规禁止出现的行为。</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二次报价邀请：谈判小组应在商务、技术和服务条件谈判后，邀请能满足采购文件所规定实质性要求的质量和服务的所有供应商进行二次报价，并告知供应商二次报价截止时间及二次报价文件编写有关规范。原则上，二次报价为最终报价。</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25.3、在评审过程中，商务标评委发现供应商的最后报价明显低于其他供应商的最后报价或者明显低于本项目采购控制价，使得其竞标可能低于其个别成本的，应当要求供应商作出书面说明并提供相关证明材料；供应商不能合理说明或者不能提供相关证明材料的，由商务标评委认定该竞标以低于其企业成本报价，其竞标作废标处理。</w:t>
      </w:r>
    </w:p>
    <w:p>
      <w:pPr>
        <w:spacing w:line="360" w:lineRule="auto"/>
        <w:ind w:firstLine="470" w:firstLineChars="195"/>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25.4、成交候选人推荐原则</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（1）谈判小组应按照客观、公正、审慎的原则，根据竞争性谈判文件规定的评审程序、评审方法和评审标准进行独立评审。评审委员会应根据质量和服务均能满足采购文件实质性响应要求的前提下，按</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报价由低到高提出3名以上成交候选供应商，并编写评审报告。</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（2）现场校对及提醒。</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招标代理机构工作人员要对</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数据进行校对、核对，对资格性审查认定错误的，分值汇总计算错误的，分项评分超出评分标准范围的，对客观评分因素评分不一致的，畸高、畸低的重大差异评分的可以提示</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委员会复核或书面说明理由。应提醒</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委员会对评分汇总情况进行复核，特别是对排名第一的、报价最低的、投标或相应文件被认定为无效的情形，应对其商务、服务、技术及价格等各方面情况进行重点复核。</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竞争性谈判过程中出现多家供应商</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价最低且相同时，应组织</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价最低的供应商只对价格重新报价，直至</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价最低供应商仅为一家。</w:t>
      </w:r>
    </w:p>
    <w:p>
      <w:pPr>
        <w:spacing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工作由采购代理机构负责组织，具体</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事务由依法组建的</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委员会负责。根据</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委员会的要求组织供应商澄清，</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委员会对投标文件中含义不明确、同类问题表述不一致或者有明显文字和计算错误的内容，可以书面形式要求投标供应商作出必要的澄清、说明或者纠正。</w:t>
      </w:r>
    </w:p>
    <w:p>
      <w:pPr>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szCs w:val="24"/>
          <w:highlight w:val="none"/>
        </w:rPr>
        <w:t>25.5本项目是以政府采购预算价为最高限价，当供应商的最终竞标报价超出</w:t>
      </w:r>
      <w:r>
        <w:rPr>
          <w:rFonts w:hint="eastAsia" w:ascii="宋体" w:hAnsi="宋体" w:eastAsia="宋体" w:cs="宋体"/>
          <w:color w:val="auto"/>
          <w:sz w:val="24"/>
          <w:szCs w:val="24"/>
          <w:highlight w:val="none"/>
          <w:lang w:val="en-US" w:eastAsia="zh-CN"/>
        </w:rPr>
        <w:t>我院</w:t>
      </w:r>
      <w:r>
        <w:rPr>
          <w:rFonts w:hint="eastAsia" w:ascii="宋体" w:hAnsi="宋体" w:eastAsia="宋体" w:cs="宋体"/>
          <w:color w:val="auto"/>
          <w:sz w:val="24"/>
          <w:szCs w:val="24"/>
          <w:highlight w:val="none"/>
        </w:rPr>
        <w:t>采购预算价时，采购人不能支付的，谈判小组对其响应文件将不予以评审。</w:t>
      </w:r>
      <w:r>
        <w:rPr>
          <w:rFonts w:hint="eastAsia" w:ascii="宋体" w:hAnsi="宋体" w:eastAsia="宋体" w:cs="宋体"/>
          <w:b/>
          <w:color w:val="auto"/>
          <w:sz w:val="24"/>
          <w:szCs w:val="24"/>
          <w:highlight w:val="none"/>
        </w:rPr>
        <w:t>本项目</w:t>
      </w:r>
      <w:r>
        <w:rPr>
          <w:rFonts w:hint="eastAsia" w:ascii="宋体" w:hAnsi="宋体" w:eastAsia="宋体" w:cs="宋体"/>
          <w:b/>
          <w:color w:val="auto"/>
          <w:sz w:val="24"/>
          <w:szCs w:val="24"/>
          <w:highlight w:val="none"/>
          <w:lang w:val="en-US" w:eastAsia="zh-CN"/>
        </w:rPr>
        <w:t>设备</w:t>
      </w:r>
      <w:r>
        <w:rPr>
          <w:rFonts w:hint="eastAsia" w:ascii="宋体" w:hAnsi="宋体" w:eastAsia="宋体" w:cs="宋体"/>
          <w:b/>
          <w:color w:val="auto"/>
          <w:sz w:val="24"/>
          <w:szCs w:val="24"/>
          <w:highlight w:val="none"/>
        </w:rPr>
        <w:t>采购预算价为：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贰拾玖</w:t>
      </w:r>
      <w:r>
        <w:rPr>
          <w:rFonts w:hint="eastAsia" w:ascii="宋体" w:hAnsi="宋体" w:eastAsia="宋体" w:cs="宋体"/>
          <w:b/>
          <w:color w:val="auto"/>
          <w:sz w:val="24"/>
          <w:szCs w:val="24"/>
          <w:highlight w:val="none"/>
          <w:u w:val="single"/>
          <w:lang w:eastAsia="zh-CN"/>
        </w:rPr>
        <w:t>万元整</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u w:val="single"/>
          <w:lang w:eastAsia="zh-CN"/>
        </w:rPr>
        <w:t>：</w:t>
      </w:r>
      <w:r>
        <w:rPr>
          <w:rFonts w:hint="eastAsia" w:ascii="宋体" w:hAnsi="宋体" w:eastAsia="宋体" w:cs="宋体"/>
          <w:b/>
          <w:color w:val="auto"/>
          <w:sz w:val="24"/>
          <w:szCs w:val="24"/>
          <w:highlight w:val="none"/>
          <w:u w:val="single"/>
          <w:lang w:val="en-US" w:eastAsia="zh-CN"/>
        </w:rPr>
        <w:t>290000.00</w:t>
      </w:r>
      <w:r>
        <w:rPr>
          <w:rFonts w:hint="eastAsia" w:ascii="宋体" w:hAnsi="宋体" w:eastAsia="宋体" w:cs="宋体"/>
          <w:b/>
          <w:color w:val="auto"/>
          <w:sz w:val="24"/>
          <w:szCs w:val="24"/>
          <w:highlight w:val="none"/>
          <w:u w:val="single"/>
        </w:rPr>
        <w:t>）</w:t>
      </w:r>
      <w:r>
        <w:rPr>
          <w:rFonts w:hint="eastAsia" w:ascii="宋体" w:hAnsi="宋体" w:eastAsia="宋体" w:cs="宋体"/>
          <w:b/>
          <w:color w:val="auto"/>
          <w:sz w:val="24"/>
          <w:szCs w:val="24"/>
          <w:highlight w:val="none"/>
        </w:rPr>
        <w:t>。</w:t>
      </w:r>
    </w:p>
    <w:p>
      <w:pPr>
        <w:spacing w:line="380" w:lineRule="exac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26. </w:t>
      </w:r>
      <w:r>
        <w:rPr>
          <w:rFonts w:hint="eastAsia" w:ascii="宋体" w:hAnsi="宋体" w:eastAsia="宋体" w:cs="宋体"/>
          <w:b/>
          <w:bCs/>
          <w:color w:val="auto"/>
          <w:sz w:val="24"/>
          <w:szCs w:val="24"/>
          <w:highlight w:val="none"/>
          <w:lang w:eastAsia="zh-CN"/>
        </w:rPr>
        <w:t>评审</w:t>
      </w:r>
      <w:r>
        <w:rPr>
          <w:rFonts w:hint="eastAsia" w:ascii="宋体" w:hAnsi="宋体" w:eastAsia="宋体" w:cs="宋体"/>
          <w:b/>
          <w:bCs/>
          <w:color w:val="auto"/>
          <w:sz w:val="24"/>
          <w:szCs w:val="24"/>
          <w:highlight w:val="none"/>
        </w:rPr>
        <w:t>内容的保密</w:t>
      </w:r>
    </w:p>
    <w:p>
      <w:pPr>
        <w:spacing w:line="440" w:lineRule="exact"/>
        <w:ind w:firstLine="48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.1 在</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活动中，凡属于审查、澄清、评价和比较竞标的有关资料及有关授予合同的信息，都不应向供应商或与</w:t>
      </w: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无关的其他人泄露。</w:t>
      </w:r>
    </w:p>
    <w:p>
      <w:pPr>
        <w:spacing w:line="440" w:lineRule="exact"/>
        <w:ind w:firstLine="360"/>
        <w:rPr>
          <w:rFonts w:ascii="宋体" w:hAnsi="宋体" w:eastAsia="宋体" w:cs="宋体"/>
          <w:color w:val="auto"/>
          <w:sz w:val="24"/>
          <w:highlight w:val="none"/>
        </w:rPr>
      </w:pPr>
      <w:r>
        <w:rPr>
          <w:rFonts w:hint="eastAsia" w:ascii="宋体" w:hAnsi="宋体" w:eastAsia="宋体" w:cs="宋体"/>
          <w:bCs/>
          <w:color w:val="auto"/>
          <w:sz w:val="24"/>
          <w:highlight w:val="none"/>
        </w:rPr>
        <w:t>26</w:t>
      </w:r>
      <w:r>
        <w:rPr>
          <w:rFonts w:hint="eastAsia" w:ascii="宋体" w:hAnsi="宋体" w:eastAsia="宋体" w:cs="宋体"/>
          <w:color w:val="auto"/>
          <w:sz w:val="24"/>
          <w:highlight w:val="none"/>
        </w:rPr>
        <w:t>.2 在响应文件的审查、澄清、评价和比较以及授予合同的过程中，供应商对采购人和谈判小组成员施加影响的任何行为，都将导致被取消竞标资格。</w:t>
      </w:r>
    </w:p>
    <w:p>
      <w:pPr>
        <w:pStyle w:val="12"/>
        <w:spacing w:line="400" w:lineRule="exact"/>
        <w:outlineLvl w:val="2"/>
        <w:rPr>
          <w:rFonts w:hAnsi="宋体" w:cs="宋体"/>
          <w:b/>
          <w:color w:val="auto"/>
          <w:sz w:val="24"/>
          <w:szCs w:val="24"/>
          <w:highlight w:val="none"/>
        </w:rPr>
      </w:pPr>
      <w:bookmarkStart w:id="9" w:name="_Toc156106957"/>
      <w:bookmarkStart w:id="10" w:name="_Toc300675940"/>
      <w:bookmarkStart w:id="11" w:name="_Toc300676150"/>
      <w:r>
        <w:rPr>
          <w:rFonts w:hint="eastAsia" w:hAnsi="宋体" w:cs="宋体"/>
          <w:b/>
          <w:color w:val="auto"/>
          <w:sz w:val="24"/>
          <w:szCs w:val="24"/>
          <w:highlight w:val="none"/>
        </w:rPr>
        <w:t>27.无效的</w:t>
      </w:r>
      <w:bookmarkEnd w:id="9"/>
      <w:bookmarkEnd w:id="10"/>
      <w:bookmarkEnd w:id="11"/>
      <w:r>
        <w:rPr>
          <w:rFonts w:hint="eastAsia" w:hAnsi="宋体" w:cs="宋体"/>
          <w:b/>
          <w:color w:val="auto"/>
          <w:sz w:val="24"/>
          <w:szCs w:val="24"/>
          <w:highlight w:val="none"/>
        </w:rPr>
        <w:t>响应文件</w:t>
      </w:r>
    </w:p>
    <w:p>
      <w:pPr>
        <w:pStyle w:val="12"/>
        <w:spacing w:line="400" w:lineRule="exact"/>
        <w:ind w:firstLine="420"/>
        <w:rPr>
          <w:rFonts w:hAnsi="宋体" w:cs="宋体"/>
          <w:color w:val="auto"/>
          <w:sz w:val="24"/>
          <w:szCs w:val="24"/>
          <w:highlight w:val="none"/>
        </w:rPr>
      </w:pPr>
      <w:r>
        <w:rPr>
          <w:rFonts w:hint="eastAsia" w:hAnsi="宋体" w:cs="宋体"/>
          <w:color w:val="auto"/>
          <w:sz w:val="24"/>
          <w:szCs w:val="24"/>
          <w:highlight w:val="none"/>
        </w:rPr>
        <w:t>25.1响应文件如出现下列情况之一，将会在</w:t>
      </w:r>
      <w:r>
        <w:rPr>
          <w:rFonts w:hint="eastAsia" w:hAnsi="宋体" w:cs="宋体"/>
          <w:color w:val="auto"/>
          <w:sz w:val="24"/>
          <w:szCs w:val="24"/>
          <w:highlight w:val="none"/>
          <w:lang w:eastAsia="zh-CN"/>
        </w:rPr>
        <w:t>评审</w:t>
      </w:r>
      <w:r>
        <w:rPr>
          <w:rFonts w:hint="eastAsia" w:hAnsi="宋体" w:cs="宋体"/>
          <w:color w:val="auto"/>
          <w:sz w:val="24"/>
          <w:szCs w:val="24"/>
          <w:highlight w:val="none"/>
        </w:rPr>
        <w:t>中按照无效文件处理。</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未按照</w:t>
      </w:r>
      <w:r>
        <w:rPr>
          <w:rFonts w:hint="eastAsia" w:hAnsi="宋体" w:cs="宋体"/>
          <w:bCs/>
          <w:color w:val="auto"/>
          <w:sz w:val="24"/>
          <w:szCs w:val="24"/>
          <w:highlight w:val="none"/>
        </w:rPr>
        <w:t>谈判文件</w:t>
      </w:r>
      <w:r>
        <w:rPr>
          <w:rFonts w:hint="eastAsia" w:hAnsi="宋体" w:cs="宋体"/>
          <w:color w:val="auto"/>
          <w:sz w:val="24"/>
          <w:szCs w:val="24"/>
          <w:highlight w:val="none"/>
        </w:rPr>
        <w:t>规定要求密封、签署、盖章的；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不具备</w:t>
      </w:r>
      <w:r>
        <w:rPr>
          <w:rFonts w:hint="eastAsia" w:hAnsi="宋体" w:cs="宋体"/>
          <w:bCs/>
          <w:color w:val="auto"/>
          <w:sz w:val="24"/>
          <w:szCs w:val="24"/>
          <w:highlight w:val="none"/>
        </w:rPr>
        <w:t>谈判文件</w:t>
      </w:r>
      <w:r>
        <w:rPr>
          <w:rFonts w:hint="eastAsia" w:hAnsi="宋体" w:cs="宋体"/>
          <w:color w:val="auto"/>
          <w:sz w:val="24"/>
          <w:szCs w:val="24"/>
          <w:highlight w:val="none"/>
        </w:rPr>
        <w:t>中规定资格要求的；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不符合法律、法规的；</w:t>
      </w:r>
    </w:p>
    <w:p>
      <w:pPr>
        <w:pStyle w:val="12"/>
        <w:numPr>
          <w:ilvl w:val="0"/>
          <w:numId w:val="2"/>
        </w:numPr>
        <w:spacing w:line="400" w:lineRule="exact"/>
        <w:rPr>
          <w:rFonts w:hAnsi="宋体" w:cs="宋体"/>
          <w:color w:val="auto"/>
          <w:sz w:val="24"/>
          <w:szCs w:val="24"/>
          <w:highlight w:val="none"/>
        </w:rPr>
      </w:pPr>
      <w:r>
        <w:rPr>
          <w:rFonts w:hint="eastAsia" w:hAnsi="宋体" w:cs="宋体"/>
          <w:bCs/>
          <w:color w:val="auto"/>
          <w:sz w:val="24"/>
          <w:szCs w:val="24"/>
          <w:highlight w:val="none"/>
        </w:rPr>
        <w:t>供应商的最终报价超过了采购预算的；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不符合</w:t>
      </w:r>
      <w:r>
        <w:rPr>
          <w:rFonts w:hint="eastAsia" w:hAnsi="宋体" w:cs="宋体"/>
          <w:bCs/>
          <w:color w:val="auto"/>
          <w:sz w:val="24"/>
          <w:szCs w:val="24"/>
          <w:highlight w:val="none"/>
        </w:rPr>
        <w:t>谈判文件</w:t>
      </w:r>
      <w:r>
        <w:rPr>
          <w:rFonts w:hint="eastAsia" w:hAnsi="宋体" w:cs="宋体"/>
          <w:color w:val="auto"/>
          <w:sz w:val="24"/>
          <w:szCs w:val="24"/>
          <w:highlight w:val="none"/>
        </w:rPr>
        <w:t>中规定的其它实质性要求并且在谈判规定的时间内无法说明和补充的；</w:t>
      </w:r>
    </w:p>
    <w:p>
      <w:pPr>
        <w:pStyle w:val="12"/>
        <w:numPr>
          <w:ilvl w:val="0"/>
          <w:numId w:val="2"/>
        </w:numPr>
        <w:spacing w:line="400" w:lineRule="exact"/>
        <w:rPr>
          <w:rFonts w:hAnsi="宋体" w:cs="宋体"/>
          <w:color w:val="auto"/>
          <w:sz w:val="24"/>
          <w:szCs w:val="24"/>
          <w:highlight w:val="none"/>
        </w:rPr>
      </w:pPr>
      <w:r>
        <w:rPr>
          <w:rFonts w:hint="eastAsia" w:hAnsi="宋体" w:cs="宋体"/>
          <w:color w:val="auto"/>
          <w:sz w:val="24"/>
          <w:szCs w:val="24"/>
          <w:highlight w:val="none"/>
        </w:rPr>
        <w:t>未按</w:t>
      </w:r>
      <w:r>
        <w:rPr>
          <w:rFonts w:hint="eastAsia" w:hAnsi="宋体" w:cs="宋体"/>
          <w:bCs/>
          <w:color w:val="auto"/>
          <w:sz w:val="24"/>
          <w:szCs w:val="24"/>
          <w:highlight w:val="none"/>
        </w:rPr>
        <w:t>谈判文件</w:t>
      </w:r>
      <w:r>
        <w:rPr>
          <w:rFonts w:hint="eastAsia" w:hAnsi="宋体" w:cs="宋体"/>
          <w:color w:val="auto"/>
          <w:sz w:val="24"/>
          <w:szCs w:val="24"/>
          <w:highlight w:val="none"/>
        </w:rPr>
        <w:t>中提出实质性要求和条件作出完全响应的；</w:t>
      </w:r>
    </w:p>
    <w:p>
      <w:pPr>
        <w:pStyle w:val="12"/>
        <w:numPr>
          <w:ilvl w:val="0"/>
          <w:numId w:val="2"/>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由同一单位或者个人编制；</w:t>
      </w:r>
    </w:p>
    <w:p>
      <w:pPr>
        <w:pStyle w:val="12"/>
        <w:numPr>
          <w:ilvl w:val="0"/>
          <w:numId w:val="2"/>
        </w:numPr>
        <w:tabs>
          <w:tab w:val="left" w:pos="515"/>
          <w:tab w:val="clear" w:pos="780"/>
        </w:tabs>
        <w:spacing w:line="400" w:lineRule="exact"/>
        <w:rPr>
          <w:rFonts w:hAnsi="宋体" w:cs="宋体"/>
          <w:bCs/>
          <w:color w:val="auto"/>
          <w:sz w:val="24"/>
          <w:szCs w:val="24"/>
          <w:highlight w:val="none"/>
        </w:rPr>
      </w:pPr>
      <w:r>
        <w:rPr>
          <w:rFonts w:hint="eastAsia" w:hAnsi="宋体" w:cs="宋体"/>
          <w:bCs/>
          <w:color w:val="auto"/>
          <w:sz w:val="24"/>
          <w:szCs w:val="24"/>
          <w:highlight w:val="none"/>
        </w:rPr>
        <w:t>不同</w:t>
      </w:r>
      <w:r>
        <w:rPr>
          <w:rFonts w:hint="eastAsia" w:hAnsi="宋体" w:cs="宋体"/>
          <w:color w:val="auto"/>
          <w:sz w:val="24"/>
          <w:szCs w:val="24"/>
          <w:highlight w:val="none"/>
        </w:rPr>
        <w:t>供应商</w:t>
      </w:r>
      <w:r>
        <w:rPr>
          <w:rFonts w:hint="eastAsia" w:hAnsi="宋体" w:cs="宋体"/>
          <w:bCs/>
          <w:color w:val="auto"/>
          <w:sz w:val="24"/>
          <w:szCs w:val="24"/>
          <w:highlight w:val="none"/>
        </w:rPr>
        <w:t>委托同一单位或者个人办理</w:t>
      </w:r>
      <w:r>
        <w:rPr>
          <w:rFonts w:hint="eastAsia" w:hAnsi="宋体" w:cs="宋体"/>
          <w:color w:val="auto"/>
          <w:sz w:val="24"/>
          <w:szCs w:val="24"/>
          <w:highlight w:val="none"/>
        </w:rPr>
        <w:t>竞标</w:t>
      </w:r>
      <w:r>
        <w:rPr>
          <w:rFonts w:hint="eastAsia" w:hAnsi="宋体" w:cs="宋体"/>
          <w:bCs/>
          <w:color w:val="auto"/>
          <w:sz w:val="24"/>
          <w:szCs w:val="24"/>
          <w:highlight w:val="none"/>
        </w:rPr>
        <w:t>事宜；</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（10）不同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异常一致或者</w:t>
      </w:r>
      <w:r>
        <w:rPr>
          <w:rFonts w:hint="eastAsia" w:hAnsi="宋体" w:cs="宋体"/>
          <w:color w:val="auto"/>
          <w:sz w:val="24"/>
          <w:szCs w:val="24"/>
          <w:highlight w:val="none"/>
        </w:rPr>
        <w:t>竞标</w:t>
      </w:r>
      <w:r>
        <w:rPr>
          <w:rFonts w:hint="eastAsia" w:hAnsi="宋体" w:cs="宋体"/>
          <w:bCs/>
          <w:color w:val="auto"/>
          <w:sz w:val="24"/>
          <w:szCs w:val="24"/>
          <w:highlight w:val="none"/>
        </w:rPr>
        <w:t>报价呈规律性差异；</w:t>
      </w:r>
    </w:p>
    <w:p>
      <w:pPr>
        <w:pStyle w:val="12"/>
        <w:tabs>
          <w:tab w:val="left" w:pos="515"/>
        </w:tabs>
        <w:spacing w:line="400" w:lineRule="exact"/>
        <w:ind w:firstLine="360" w:firstLineChars="150"/>
        <w:rPr>
          <w:rFonts w:hAnsi="宋体" w:cs="宋体"/>
          <w:bCs/>
          <w:color w:val="auto"/>
          <w:sz w:val="24"/>
          <w:szCs w:val="24"/>
          <w:highlight w:val="none"/>
        </w:rPr>
      </w:pPr>
      <w:r>
        <w:rPr>
          <w:rFonts w:hint="eastAsia" w:hAnsi="宋体" w:cs="宋体"/>
          <w:bCs/>
          <w:color w:val="auto"/>
          <w:sz w:val="24"/>
          <w:szCs w:val="24"/>
          <w:highlight w:val="none"/>
        </w:rPr>
        <w:t>（11）不同</w:t>
      </w:r>
      <w:r>
        <w:rPr>
          <w:rFonts w:hint="eastAsia" w:hAnsi="宋体" w:cs="宋体"/>
          <w:color w:val="auto"/>
          <w:sz w:val="24"/>
          <w:szCs w:val="24"/>
          <w:highlight w:val="none"/>
        </w:rPr>
        <w:t>供应商</w:t>
      </w:r>
      <w:r>
        <w:rPr>
          <w:rFonts w:hint="eastAsia" w:hAnsi="宋体" w:cs="宋体"/>
          <w:bCs/>
          <w:color w:val="auto"/>
          <w:sz w:val="24"/>
          <w:szCs w:val="24"/>
          <w:highlight w:val="none"/>
        </w:rPr>
        <w:t>的</w:t>
      </w:r>
      <w:r>
        <w:rPr>
          <w:rFonts w:hint="eastAsia" w:hAnsi="宋体" w:cs="宋体"/>
          <w:color w:val="auto"/>
          <w:sz w:val="24"/>
          <w:szCs w:val="24"/>
          <w:highlight w:val="none"/>
        </w:rPr>
        <w:t>响应文件</w:t>
      </w:r>
      <w:r>
        <w:rPr>
          <w:rFonts w:hint="eastAsia" w:hAnsi="宋体" w:cs="宋体"/>
          <w:bCs/>
          <w:color w:val="auto"/>
          <w:sz w:val="24"/>
          <w:szCs w:val="24"/>
          <w:highlight w:val="none"/>
        </w:rPr>
        <w:t>相互混装；</w:t>
      </w:r>
    </w:p>
    <w:p>
      <w:pPr>
        <w:pStyle w:val="12"/>
        <w:spacing w:line="400" w:lineRule="exact"/>
        <w:outlineLvl w:val="2"/>
        <w:rPr>
          <w:rFonts w:hAnsi="宋体" w:cs="宋体"/>
          <w:b/>
          <w:color w:val="auto"/>
          <w:sz w:val="24"/>
          <w:szCs w:val="24"/>
          <w:highlight w:val="none"/>
        </w:rPr>
      </w:pPr>
      <w:r>
        <w:rPr>
          <w:rFonts w:hint="eastAsia" w:hAnsi="宋体" w:cs="宋体"/>
          <w:b/>
          <w:color w:val="auto"/>
          <w:sz w:val="24"/>
          <w:szCs w:val="24"/>
          <w:highlight w:val="none"/>
        </w:rPr>
        <w:t xml:space="preserve"> </w:t>
      </w:r>
      <w:bookmarkStart w:id="12" w:name="_Toc156106958"/>
      <w:bookmarkStart w:id="13" w:name="_Toc300676151"/>
      <w:bookmarkStart w:id="14" w:name="_Toc300675941"/>
      <w:r>
        <w:rPr>
          <w:rFonts w:hint="eastAsia" w:hAnsi="宋体" w:cs="宋体"/>
          <w:b/>
          <w:color w:val="auto"/>
          <w:sz w:val="24"/>
          <w:szCs w:val="24"/>
          <w:highlight w:val="none"/>
        </w:rPr>
        <w:t>28.废标</w:t>
      </w:r>
      <w:bookmarkEnd w:id="12"/>
      <w:bookmarkEnd w:id="13"/>
      <w:bookmarkEnd w:id="14"/>
    </w:p>
    <w:p>
      <w:pPr>
        <w:pStyle w:val="12"/>
        <w:spacing w:line="400" w:lineRule="exact"/>
        <w:ind w:firstLine="435"/>
        <w:rPr>
          <w:rFonts w:hAnsi="宋体" w:cs="宋体"/>
          <w:bCs/>
          <w:color w:val="auto"/>
          <w:sz w:val="24"/>
          <w:szCs w:val="24"/>
          <w:highlight w:val="none"/>
        </w:rPr>
      </w:pPr>
      <w:r>
        <w:rPr>
          <w:rFonts w:hint="eastAsia" w:hAnsi="宋体" w:cs="宋体"/>
          <w:bCs/>
          <w:color w:val="auto"/>
          <w:sz w:val="24"/>
          <w:szCs w:val="24"/>
          <w:highlight w:val="none"/>
        </w:rPr>
        <w:t>28.1采购项目出现下列情形之一的，采购代理机构将予以废标：</w:t>
      </w:r>
    </w:p>
    <w:p>
      <w:pPr>
        <w:pStyle w:val="12"/>
        <w:spacing w:line="440" w:lineRule="exact"/>
        <w:ind w:firstLine="435"/>
        <w:rPr>
          <w:rFonts w:hAnsi="宋体" w:cs="宋体"/>
          <w:bCs/>
          <w:color w:val="auto"/>
          <w:sz w:val="24"/>
          <w:szCs w:val="24"/>
          <w:highlight w:val="none"/>
        </w:rPr>
      </w:pPr>
      <w:r>
        <w:rPr>
          <w:rFonts w:hint="eastAsia" w:hAnsi="宋体" w:cs="宋体"/>
          <w:color w:val="auto"/>
          <w:sz w:val="24"/>
          <w:szCs w:val="24"/>
          <w:highlight w:val="none"/>
        </w:rPr>
        <w:t>（1）</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过程中符合专业条件或者对谈判采购文件作实质响应的供应商不足三家的；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（2）出现影响采购公正的违法、违规行为的；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（3）供应商的最终报价均超出预算价，采购人不能支付的；</w:t>
      </w:r>
    </w:p>
    <w:p>
      <w:pPr>
        <w:pStyle w:val="12"/>
        <w:spacing w:line="440" w:lineRule="exact"/>
        <w:ind w:firstLine="420"/>
        <w:rPr>
          <w:rFonts w:hAnsi="宋体" w:cs="宋体"/>
          <w:color w:val="auto"/>
          <w:sz w:val="24"/>
          <w:szCs w:val="24"/>
          <w:highlight w:val="none"/>
        </w:rPr>
      </w:pPr>
      <w:r>
        <w:rPr>
          <w:rFonts w:hint="eastAsia" w:hAnsi="宋体" w:cs="宋体"/>
          <w:color w:val="auto"/>
          <w:sz w:val="24"/>
          <w:szCs w:val="24"/>
          <w:highlight w:val="none"/>
        </w:rPr>
        <w:t>（4）因重大变故，采购任务取消的。</w:t>
      </w:r>
    </w:p>
    <w:p>
      <w:pPr>
        <w:pStyle w:val="12"/>
        <w:spacing w:line="400" w:lineRule="exact"/>
        <w:ind w:firstLine="420"/>
        <w:rPr>
          <w:rFonts w:hAnsi="宋体" w:cs="宋体"/>
          <w:bCs/>
          <w:color w:val="auto"/>
          <w:sz w:val="24"/>
          <w:szCs w:val="24"/>
          <w:highlight w:val="none"/>
        </w:rPr>
      </w:pPr>
      <w:r>
        <w:rPr>
          <w:rFonts w:hint="eastAsia" w:hAnsi="宋体" w:cs="宋体"/>
          <w:bCs/>
          <w:color w:val="auto"/>
          <w:sz w:val="24"/>
          <w:szCs w:val="24"/>
          <w:highlight w:val="none"/>
        </w:rPr>
        <w:t>28.2废标后，采购代理机构将把废标理由通知所有供应商。</w:t>
      </w:r>
    </w:p>
    <w:p>
      <w:pPr>
        <w:spacing w:line="440" w:lineRule="exact"/>
        <w:rPr>
          <w:rFonts w:ascii="宋体" w:hAnsi="宋体" w:eastAsia="宋体" w:cs="宋体"/>
          <w:color w:val="auto"/>
          <w:sz w:val="28"/>
          <w:highlight w:val="none"/>
        </w:rPr>
      </w:pPr>
    </w:p>
    <w:p>
      <w:pPr>
        <w:keepNext/>
        <w:keepLines/>
        <w:spacing w:line="380" w:lineRule="exact"/>
        <w:jc w:val="center"/>
        <w:rPr>
          <w:rFonts w:ascii="宋体" w:hAnsi="宋体" w:eastAsia="宋体" w:cs="宋体"/>
          <w:b/>
          <w:color w:val="auto"/>
          <w:sz w:val="28"/>
          <w:highlight w:val="none"/>
        </w:rPr>
      </w:pPr>
      <w:bookmarkStart w:id="15" w:name="_Toc300675943"/>
      <w:bookmarkStart w:id="16" w:name="_Toc300676153"/>
      <w:bookmarkStart w:id="17" w:name="_Toc156106960"/>
      <w:r>
        <w:rPr>
          <w:rFonts w:hint="eastAsia" w:ascii="宋体" w:hAnsi="宋体" w:eastAsia="宋体" w:cs="宋体"/>
          <w:b/>
          <w:color w:val="auto"/>
          <w:sz w:val="28"/>
          <w:highlight w:val="none"/>
        </w:rPr>
        <w:t>七、合同授予</w:t>
      </w:r>
    </w:p>
    <w:bookmarkEnd w:id="15"/>
    <w:bookmarkEnd w:id="16"/>
    <w:bookmarkEnd w:id="17"/>
    <w:p>
      <w:pPr>
        <w:pStyle w:val="12"/>
        <w:spacing w:line="500" w:lineRule="exact"/>
        <w:outlineLvl w:val="2"/>
        <w:rPr>
          <w:rFonts w:hAnsi="宋体" w:cs="宋体"/>
          <w:b/>
          <w:bCs/>
          <w:color w:val="auto"/>
          <w:sz w:val="24"/>
          <w:szCs w:val="24"/>
          <w:highlight w:val="none"/>
        </w:rPr>
      </w:pPr>
      <w:bookmarkStart w:id="18" w:name="_Toc108836079"/>
      <w:bookmarkStart w:id="19" w:name="_Toc108835668"/>
      <w:bookmarkStart w:id="20" w:name="_Toc30504"/>
      <w:bookmarkStart w:id="21" w:name="_Toc300676155"/>
      <w:bookmarkStart w:id="22" w:name="_Toc156106962"/>
      <w:bookmarkStart w:id="23" w:name="_Toc147250544"/>
      <w:bookmarkStart w:id="24" w:name="_Toc147250342"/>
      <w:bookmarkStart w:id="25" w:name="_Toc147250388"/>
      <w:bookmarkStart w:id="26" w:name="_Toc300675945"/>
      <w:r>
        <w:rPr>
          <w:rFonts w:hint="eastAsia" w:hAnsi="宋体" w:cs="宋体"/>
          <w:b/>
          <w:bCs/>
          <w:color w:val="auto"/>
          <w:sz w:val="24"/>
          <w:szCs w:val="24"/>
          <w:highlight w:val="none"/>
        </w:rPr>
        <w:t>29.合同授予标准</w:t>
      </w:r>
      <w:bookmarkEnd w:id="18"/>
      <w:bookmarkEnd w:id="19"/>
      <w:bookmarkEnd w:id="20"/>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36.1采购人将把合同授予成交人。</w:t>
      </w:r>
    </w:p>
    <w:p>
      <w:pPr>
        <w:pStyle w:val="12"/>
        <w:spacing w:line="500" w:lineRule="exact"/>
        <w:outlineLvl w:val="2"/>
        <w:rPr>
          <w:rFonts w:hAnsi="宋体" w:cs="宋体"/>
          <w:b/>
          <w:bCs/>
          <w:color w:val="auto"/>
          <w:sz w:val="24"/>
          <w:szCs w:val="24"/>
          <w:highlight w:val="none"/>
        </w:rPr>
      </w:pPr>
      <w:bookmarkStart w:id="27" w:name="_Toc199728729"/>
      <w:bookmarkStart w:id="28" w:name="_Toc29776"/>
      <w:r>
        <w:rPr>
          <w:rFonts w:hint="eastAsia" w:hAnsi="宋体" w:cs="宋体"/>
          <w:b/>
          <w:bCs/>
          <w:color w:val="auto"/>
          <w:sz w:val="24"/>
          <w:szCs w:val="24"/>
          <w:highlight w:val="none"/>
        </w:rPr>
        <w:t>30.成交通知书</w:t>
      </w:r>
      <w:bookmarkEnd w:id="27"/>
      <w:bookmarkEnd w:id="28"/>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招标代理机构和采购人在确定成交人后，向成交人发出成交通知。</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30.1 确定出成交人后在竞标有效期截止前，采购人将以书面形式通知成交的供应商其竞标被接受。在该通知书（以下合同条件中称“成交通知书”）中给出采购人对成交人按本合同的成交标价（以下合同条件中称为“合同价格”），以及交货期、质保期等。</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30.2 成交通知书为合同的组成部分。</w:t>
      </w:r>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30.3 采购人应及时将未成交的结果通知供应商。</w:t>
      </w:r>
    </w:p>
    <w:p>
      <w:pPr>
        <w:pStyle w:val="12"/>
        <w:spacing w:line="500" w:lineRule="exact"/>
        <w:outlineLvl w:val="2"/>
        <w:rPr>
          <w:rFonts w:hAnsi="宋体" w:cs="宋体"/>
          <w:b/>
          <w:color w:val="auto"/>
          <w:sz w:val="24"/>
          <w:szCs w:val="24"/>
          <w:highlight w:val="none"/>
        </w:rPr>
      </w:pPr>
      <w:r>
        <w:rPr>
          <w:rFonts w:hint="eastAsia" w:hAnsi="宋体" w:cs="宋体"/>
          <w:b/>
          <w:bCs/>
          <w:color w:val="auto"/>
          <w:sz w:val="24"/>
          <w:szCs w:val="24"/>
          <w:highlight w:val="none"/>
        </w:rPr>
        <w:t>31.</w:t>
      </w:r>
      <w:r>
        <w:rPr>
          <w:rFonts w:hint="eastAsia" w:hAnsi="宋体" w:cs="宋体"/>
          <w:b/>
          <w:color w:val="auto"/>
          <w:sz w:val="24"/>
          <w:szCs w:val="24"/>
          <w:highlight w:val="none"/>
        </w:rPr>
        <w:t>合同授予标准</w:t>
      </w:r>
      <w:bookmarkEnd w:id="21"/>
      <w:bookmarkEnd w:id="22"/>
      <w:bookmarkEnd w:id="23"/>
      <w:bookmarkEnd w:id="24"/>
      <w:bookmarkEnd w:id="25"/>
      <w:bookmarkEnd w:id="26"/>
    </w:p>
    <w:p>
      <w:pPr>
        <w:pStyle w:val="12"/>
        <w:spacing w:line="500" w:lineRule="exact"/>
        <w:ind w:firstLine="435"/>
        <w:rPr>
          <w:rFonts w:hAnsi="宋体" w:cs="宋体"/>
          <w:bCs/>
          <w:color w:val="auto"/>
          <w:sz w:val="24"/>
          <w:szCs w:val="24"/>
          <w:highlight w:val="none"/>
        </w:rPr>
      </w:pPr>
      <w:r>
        <w:rPr>
          <w:rFonts w:hint="eastAsia" w:hAnsi="宋体" w:cs="宋体"/>
          <w:bCs/>
          <w:color w:val="auto"/>
          <w:sz w:val="24"/>
          <w:szCs w:val="24"/>
          <w:highlight w:val="none"/>
        </w:rPr>
        <w:t>31.1合同授予被确定为实质上</w:t>
      </w:r>
      <w:r>
        <w:rPr>
          <w:rFonts w:hint="eastAsia" w:hAnsi="宋体" w:cs="宋体"/>
          <w:color w:val="auto"/>
          <w:sz w:val="24"/>
          <w:szCs w:val="24"/>
          <w:highlight w:val="none"/>
        </w:rPr>
        <w:t>响应谈判文件要</w:t>
      </w:r>
      <w:r>
        <w:rPr>
          <w:rFonts w:hint="eastAsia" w:hAnsi="宋体" w:cs="宋体"/>
          <w:bCs/>
          <w:color w:val="auto"/>
          <w:sz w:val="24"/>
          <w:szCs w:val="24"/>
          <w:highlight w:val="none"/>
        </w:rPr>
        <w:t>求，</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认为具备履行合同能力，报价最低的供应商。</w:t>
      </w:r>
    </w:p>
    <w:p>
      <w:pPr>
        <w:pStyle w:val="12"/>
        <w:spacing w:line="500" w:lineRule="exact"/>
        <w:ind w:firstLine="480" w:firstLineChars="200"/>
        <w:rPr>
          <w:rFonts w:hAnsi="宋体" w:cs="宋体"/>
          <w:bCs/>
          <w:color w:val="auto"/>
          <w:sz w:val="24"/>
          <w:szCs w:val="24"/>
          <w:highlight w:val="none"/>
        </w:rPr>
      </w:pPr>
      <w:r>
        <w:rPr>
          <w:rFonts w:hint="eastAsia" w:hAnsi="宋体" w:cs="宋体"/>
          <w:bCs/>
          <w:color w:val="auto"/>
          <w:sz w:val="24"/>
          <w:szCs w:val="24"/>
          <w:highlight w:val="none"/>
        </w:rPr>
        <w:t>31.2 采购人应按照</w:t>
      </w:r>
      <w:r>
        <w:rPr>
          <w:rFonts w:hint="eastAsia" w:hAnsi="宋体" w:cs="宋体"/>
          <w:bCs/>
          <w:color w:val="auto"/>
          <w:sz w:val="24"/>
          <w:szCs w:val="24"/>
          <w:highlight w:val="none"/>
          <w:lang w:eastAsia="zh-CN"/>
        </w:rPr>
        <w:t>评审</w:t>
      </w:r>
      <w:r>
        <w:rPr>
          <w:rFonts w:hint="eastAsia" w:hAnsi="宋体" w:cs="宋体"/>
          <w:bCs/>
          <w:color w:val="auto"/>
          <w:sz w:val="24"/>
          <w:szCs w:val="24"/>
          <w:highlight w:val="none"/>
        </w:rPr>
        <w:t>报告中推荐的成交候选供应商顺序确定成交供应商。</w:t>
      </w:r>
    </w:p>
    <w:p>
      <w:pPr>
        <w:pStyle w:val="12"/>
        <w:spacing w:line="500" w:lineRule="exact"/>
        <w:ind w:firstLine="420"/>
        <w:rPr>
          <w:rFonts w:hAnsi="宋体" w:cs="宋体"/>
          <w:color w:val="auto"/>
          <w:sz w:val="24"/>
          <w:szCs w:val="24"/>
          <w:highlight w:val="none"/>
        </w:rPr>
      </w:pPr>
      <w:r>
        <w:rPr>
          <w:rFonts w:hint="eastAsia" w:hAnsi="宋体" w:cs="宋体"/>
          <w:bCs/>
          <w:color w:val="auto"/>
          <w:sz w:val="24"/>
          <w:szCs w:val="24"/>
          <w:highlight w:val="none"/>
        </w:rPr>
        <w:t>31</w:t>
      </w:r>
      <w:r>
        <w:rPr>
          <w:rFonts w:hint="eastAsia" w:hAnsi="宋体" w:cs="宋体"/>
          <w:color w:val="auto"/>
          <w:sz w:val="24"/>
          <w:szCs w:val="24"/>
          <w:highlight w:val="none"/>
        </w:rPr>
        <w:t>.3成交供应商因不可抗力或者自身原因不能履行采购合同的，采购人可以合格的成交候选人中另行确定成交供应商，没有合格的成交候选人的，重新开展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p>
    <w:p>
      <w:pPr>
        <w:pStyle w:val="12"/>
        <w:spacing w:line="500" w:lineRule="exact"/>
        <w:outlineLvl w:val="2"/>
        <w:rPr>
          <w:rFonts w:hAnsi="宋体" w:cs="宋体"/>
          <w:color w:val="auto"/>
          <w:sz w:val="24"/>
          <w:szCs w:val="24"/>
          <w:highlight w:val="none"/>
        </w:rPr>
      </w:pPr>
      <w:bookmarkStart w:id="29" w:name="_Toc300675946"/>
      <w:bookmarkStart w:id="30" w:name="_Toc156106963"/>
      <w:bookmarkStart w:id="31" w:name="_Toc300676156"/>
      <w:r>
        <w:rPr>
          <w:rFonts w:hint="eastAsia" w:hAnsi="宋体" w:cs="宋体"/>
          <w:b/>
          <w:color w:val="auto"/>
          <w:sz w:val="24"/>
          <w:szCs w:val="24"/>
          <w:highlight w:val="none"/>
        </w:rPr>
        <w:t>32.签订合同</w:t>
      </w:r>
      <w:bookmarkEnd w:id="29"/>
      <w:bookmarkEnd w:id="30"/>
      <w:bookmarkEnd w:id="31"/>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32.1成交供应商在收到成交通知书后，按成交通知书中规定的时间、地点与采购人签订合同。</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32.2如成交供应商不按成交通知书的规定签订合同，则按成交供应商违约处理，采购代理机构对成交供应商竞标的全部竞标保证金将不予退还，同时还应对采购人承担违约责任。</w:t>
      </w:r>
    </w:p>
    <w:p>
      <w:pPr>
        <w:pStyle w:val="12"/>
        <w:spacing w:line="500" w:lineRule="exact"/>
        <w:ind w:firstLine="420"/>
        <w:rPr>
          <w:rFonts w:hAnsi="宋体" w:cs="宋体"/>
          <w:color w:val="auto"/>
          <w:sz w:val="24"/>
          <w:szCs w:val="24"/>
          <w:highlight w:val="none"/>
        </w:rPr>
      </w:pPr>
      <w:r>
        <w:rPr>
          <w:rFonts w:hint="eastAsia" w:hAnsi="宋体" w:cs="宋体"/>
          <w:color w:val="auto"/>
          <w:sz w:val="24"/>
          <w:szCs w:val="24"/>
          <w:highlight w:val="none"/>
        </w:rPr>
        <w:t>32.3合同签订必须按《中华人民共和国政府采购法》、《政府采购非招标采购方式管理办法》和《中华人民共和国合同法》，否则由此造成的后果由采购人负责。</w:t>
      </w:r>
    </w:p>
    <w:p>
      <w:pPr>
        <w:pStyle w:val="12"/>
        <w:spacing w:line="500" w:lineRule="exact"/>
        <w:ind w:left="6" w:firstLine="439"/>
        <w:rPr>
          <w:rFonts w:hAnsi="宋体" w:cs="宋体"/>
          <w:color w:val="auto"/>
          <w:sz w:val="24"/>
          <w:szCs w:val="24"/>
          <w:highlight w:val="none"/>
        </w:rPr>
      </w:pPr>
      <w:bookmarkStart w:id="32" w:name="_Toc205632338"/>
      <w:bookmarkStart w:id="33" w:name="_Toc290489558"/>
      <w:bookmarkStart w:id="34" w:name="_Toc290489636"/>
      <w:r>
        <w:rPr>
          <w:rFonts w:hint="eastAsia" w:hAnsi="宋体" w:cs="宋体"/>
          <w:color w:val="auto"/>
          <w:sz w:val="24"/>
          <w:szCs w:val="24"/>
          <w:highlight w:val="none"/>
        </w:rPr>
        <w:t>32.4成交供应商因不可抗力或者自身原因不能履行采购合同的，</w:t>
      </w:r>
      <w:bookmarkEnd w:id="32"/>
      <w:r>
        <w:rPr>
          <w:rFonts w:hint="eastAsia" w:hAnsi="宋体" w:cs="宋体"/>
          <w:color w:val="auto"/>
          <w:sz w:val="24"/>
          <w:szCs w:val="24"/>
          <w:highlight w:val="none"/>
        </w:rPr>
        <w:t>采购单位可以从合格的成交候选人中另行确定成交供应商，没有合格的成交候选人的，重新开展采购活动。《政府采购法实施条例》第四十九条中标或者成交供应商拒绝与采购人签订合同的，采购人可以按照评审报告推荐的中标或者成交候选人名单排序，确定下一候选人为中标或者成交供应商，也可以重新开展政府采购活动。但由于排名第一的成交候选供应商放弃成交资格或未按规定签订合同，造成本项目的合同成交价提高（指采购人选择第二成交候选供应商为成交人后导致成交金额高于违约供应商的成交价），所超出违约供应商的成交价差额部分由违约供应商承担赔偿责任。</w:t>
      </w:r>
      <w:bookmarkEnd w:id="33"/>
      <w:bookmarkEnd w:id="34"/>
    </w:p>
    <w:p>
      <w:pPr>
        <w:pStyle w:val="12"/>
        <w:spacing w:line="500" w:lineRule="exact"/>
        <w:outlineLvl w:val="2"/>
        <w:rPr>
          <w:rFonts w:hAnsi="宋体" w:cs="宋体"/>
          <w:b/>
          <w:color w:val="auto"/>
          <w:sz w:val="24"/>
          <w:szCs w:val="24"/>
          <w:highlight w:val="none"/>
        </w:rPr>
      </w:pPr>
      <w:bookmarkStart w:id="35" w:name="_Toc11381"/>
      <w:bookmarkStart w:id="36" w:name="_Toc108835671"/>
      <w:bookmarkStart w:id="37" w:name="_Toc199728731"/>
      <w:bookmarkStart w:id="38" w:name="_Toc108836082"/>
      <w:bookmarkStart w:id="39" w:name="_Toc300676158"/>
      <w:bookmarkStart w:id="40" w:name="_Toc156106965"/>
      <w:bookmarkStart w:id="41" w:name="_Toc300675948"/>
      <w:r>
        <w:rPr>
          <w:rFonts w:hint="eastAsia" w:hAnsi="宋体" w:cs="宋体"/>
          <w:b/>
          <w:color w:val="auto"/>
          <w:sz w:val="24"/>
          <w:szCs w:val="24"/>
          <w:highlight w:val="none"/>
        </w:rPr>
        <w:t>33.履约保证金</w:t>
      </w:r>
      <w:bookmarkEnd w:id="35"/>
      <w:bookmarkEnd w:id="36"/>
      <w:bookmarkEnd w:id="37"/>
      <w:bookmarkEnd w:id="38"/>
      <w:r>
        <w:rPr>
          <w:rFonts w:hint="eastAsia" w:hAnsi="宋体" w:cs="宋体"/>
          <w:b/>
          <w:color w:val="auto"/>
          <w:sz w:val="24"/>
          <w:szCs w:val="24"/>
          <w:highlight w:val="none"/>
        </w:rPr>
        <w:t xml:space="preserve"> </w:t>
      </w:r>
    </w:p>
    <w:p>
      <w:pPr>
        <w:pStyle w:val="12"/>
        <w:spacing w:line="500" w:lineRule="exact"/>
        <w:ind w:left="6" w:firstLine="439"/>
        <w:rPr>
          <w:rFonts w:hint="eastAsia" w:hAnsi="宋体" w:eastAsia="宋体" w:cs="宋体"/>
          <w:color w:val="auto"/>
          <w:sz w:val="24"/>
          <w:szCs w:val="24"/>
          <w:highlight w:val="none"/>
          <w:lang w:eastAsia="zh-CN"/>
        </w:rPr>
      </w:pPr>
      <w:r>
        <w:rPr>
          <w:rFonts w:hint="eastAsia" w:hAnsi="宋体" w:cs="宋体"/>
          <w:color w:val="auto"/>
          <w:sz w:val="24"/>
          <w:szCs w:val="24"/>
          <w:highlight w:val="none"/>
        </w:rPr>
        <w:t xml:space="preserve"> 33.1履约担保的金额：</w:t>
      </w:r>
      <w:r>
        <w:rPr>
          <w:rFonts w:hint="eastAsia" w:hAnsi="宋体" w:cs="宋体"/>
          <w:color w:val="auto"/>
          <w:sz w:val="24"/>
          <w:szCs w:val="24"/>
          <w:highlight w:val="none"/>
          <w:lang w:val="en-US" w:eastAsia="zh-CN"/>
        </w:rPr>
        <w:t>/</w:t>
      </w:r>
    </w:p>
    <w:p>
      <w:pPr>
        <w:pStyle w:val="12"/>
        <w:spacing w:line="500" w:lineRule="exact"/>
        <w:ind w:left="6" w:firstLine="439"/>
        <w:rPr>
          <w:rFonts w:hAnsi="宋体" w:cs="宋体"/>
          <w:color w:val="auto"/>
          <w:sz w:val="24"/>
          <w:szCs w:val="24"/>
          <w:highlight w:val="none"/>
        </w:rPr>
      </w:pPr>
    </w:p>
    <w:p>
      <w:pPr>
        <w:pStyle w:val="12"/>
        <w:spacing w:line="420" w:lineRule="exact"/>
        <w:ind w:firstLine="3869" w:firstLineChars="1606"/>
        <w:outlineLvl w:val="1"/>
        <w:rPr>
          <w:rFonts w:hAnsi="宋体" w:cs="宋体"/>
          <w:b/>
          <w:bCs/>
          <w:color w:val="auto"/>
          <w:sz w:val="24"/>
          <w:szCs w:val="24"/>
          <w:highlight w:val="none"/>
        </w:rPr>
      </w:pPr>
      <w:r>
        <w:rPr>
          <w:rFonts w:hint="eastAsia" w:hAnsi="宋体" w:cs="宋体"/>
          <w:b/>
          <w:bCs/>
          <w:color w:val="auto"/>
          <w:sz w:val="24"/>
          <w:szCs w:val="24"/>
          <w:highlight w:val="none"/>
        </w:rPr>
        <w:t>八、其他事项</w:t>
      </w:r>
      <w:bookmarkEnd w:id="39"/>
      <w:bookmarkEnd w:id="40"/>
      <w:bookmarkEnd w:id="41"/>
    </w:p>
    <w:p>
      <w:pPr>
        <w:pStyle w:val="12"/>
        <w:spacing w:line="420" w:lineRule="exact"/>
        <w:outlineLvl w:val="2"/>
        <w:rPr>
          <w:rFonts w:hint="eastAsia" w:hAnsi="宋体" w:cs="宋体"/>
          <w:b/>
          <w:color w:val="auto"/>
          <w:sz w:val="24"/>
          <w:szCs w:val="24"/>
          <w:highlight w:val="none"/>
        </w:rPr>
      </w:pPr>
      <w:bookmarkStart w:id="42" w:name="_Toc295666041"/>
      <w:bookmarkStart w:id="43" w:name="_Toc295666183"/>
      <w:bookmarkStart w:id="44" w:name="_Toc156106966"/>
      <w:r>
        <w:rPr>
          <w:rFonts w:hint="eastAsia" w:hAnsi="宋体" w:cs="宋体"/>
          <w:b/>
          <w:bCs/>
          <w:color w:val="auto"/>
          <w:sz w:val="24"/>
          <w:szCs w:val="24"/>
          <w:highlight w:val="none"/>
        </w:rPr>
        <w:t>34.成交服务费</w:t>
      </w:r>
      <w:bookmarkEnd w:id="42"/>
      <w:bookmarkEnd w:id="43"/>
      <w:bookmarkEnd w:id="44"/>
      <w:r>
        <w:rPr>
          <w:rFonts w:hint="eastAsia" w:hAnsi="宋体" w:cs="宋体"/>
          <w:b/>
          <w:bCs/>
          <w:color w:val="auto"/>
          <w:sz w:val="24"/>
          <w:szCs w:val="24"/>
          <w:highlight w:val="none"/>
          <w:lang w:eastAsia="zh-CN"/>
        </w:rPr>
        <w:t>：</w:t>
      </w:r>
      <w:bookmarkStart w:id="45" w:name="_Toc295666185"/>
      <w:bookmarkStart w:id="46" w:name="_Toc156106967"/>
      <w:bookmarkStart w:id="47" w:name="_Toc295666043"/>
      <w:r>
        <w:rPr>
          <w:rFonts w:hint="eastAsia" w:hAnsi="宋体" w:cs="宋体"/>
          <w:color w:val="auto"/>
          <w:sz w:val="24"/>
          <w:szCs w:val="24"/>
          <w:highlight w:val="none"/>
          <w:lang w:val="en-US" w:eastAsia="zh-CN"/>
        </w:rPr>
        <w:t>无。</w:t>
      </w:r>
    </w:p>
    <w:p>
      <w:pPr>
        <w:pStyle w:val="12"/>
        <w:spacing w:line="420" w:lineRule="exact"/>
        <w:outlineLvl w:val="2"/>
        <w:rPr>
          <w:rFonts w:hAnsi="宋体" w:cs="宋体"/>
          <w:b/>
          <w:color w:val="auto"/>
          <w:sz w:val="24"/>
          <w:szCs w:val="24"/>
          <w:highlight w:val="none"/>
        </w:rPr>
      </w:pPr>
      <w:r>
        <w:rPr>
          <w:rFonts w:hint="eastAsia" w:hAnsi="宋体" w:cs="宋体"/>
          <w:b/>
          <w:color w:val="auto"/>
          <w:sz w:val="24"/>
          <w:szCs w:val="24"/>
          <w:highlight w:val="none"/>
        </w:rPr>
        <w:t>35.解释权</w:t>
      </w:r>
      <w:bookmarkEnd w:id="45"/>
      <w:bookmarkEnd w:id="46"/>
      <w:bookmarkEnd w:id="47"/>
    </w:p>
    <w:p>
      <w:pPr>
        <w:pStyle w:val="12"/>
        <w:spacing w:line="420" w:lineRule="exact"/>
        <w:ind w:firstLine="420"/>
        <w:rPr>
          <w:rFonts w:hAnsi="宋体" w:cs="宋体"/>
          <w:color w:val="auto"/>
          <w:sz w:val="24"/>
          <w:szCs w:val="24"/>
          <w:highlight w:val="none"/>
        </w:rPr>
      </w:pPr>
      <w:r>
        <w:rPr>
          <w:rFonts w:hint="eastAsia" w:hAnsi="宋体" w:cs="宋体"/>
          <w:color w:val="auto"/>
          <w:sz w:val="24"/>
          <w:szCs w:val="24"/>
          <w:highlight w:val="none"/>
        </w:rPr>
        <w:t>35.1本谈判采购文件是根据国家有关法律、法规以及政府采购管理有关规定和参照国际惯例编制，解释权属本采购代理机构。</w:t>
      </w:r>
    </w:p>
    <w:p>
      <w:pPr>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36. 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36.1 有下列情形之一的，应予以重新采购：</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⑴竞标截止时间止，供应商不足3家的。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⑵符合专业条件的供应商或者对竞争性谈判文件作实质响应的供应商不足三家的；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⑶出现影响采购公正的违法、违规行为的；</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⑷因重大变故，采购任务取消的。</w:t>
      </w:r>
    </w:p>
    <w:p>
      <w:pPr>
        <w:keepNext/>
        <w:numPr>
          <w:ilvl w:val="0"/>
          <w:numId w:val="3"/>
        </w:numPr>
        <w:spacing w:line="40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r>
        <w:rPr>
          <w:rFonts w:hint="eastAsia" w:ascii="宋体" w:hAnsi="宋体" w:eastAsia="宋体" w:cs="宋体"/>
          <w:b/>
          <w:color w:val="auto"/>
          <w:sz w:val="28"/>
          <w:highlight w:val="none"/>
        </w:rPr>
        <w:t>货物需求一览表</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说明：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1.本一览表的货物品牌型号、技术参数及其性能（配置）仅起参考作用，供应商可选用其它品牌型号替代，但这些替代的品牌型号要实质上相当于或优于参考品牌型号及其技术参数性能（配置）要求； </w:t>
      </w:r>
    </w:p>
    <w:p>
      <w:pPr>
        <w:spacing w:line="360" w:lineRule="auto"/>
        <w:rPr>
          <w:rFonts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 xml:space="preserve">2.本一览表中参考品牌型号规格及技术参数不明确或有误的，或供应商选用其它品牌型号替代的，请以详细、正确的品牌型号、技术参数（配置）同时填写竞标报价明细表和技术规格响应表。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 xml:space="preserve">3.凡在“技术参数及性能（配置）要求”中表述为“标配”或“标准配置”的货物，供应商应在竞标报价明细表中将其标配参数详细列明。 </w:t>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bidi="ar"/>
        </w:rPr>
        <w:t>5.打“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bidi="ar"/>
        </w:rPr>
        <w:t>”项为重要货物技术参数、性能（配置）及要求，供应商的竞标产品必须满足或优于该参数配置要求，否则竞标无效</w:t>
      </w:r>
      <w:r>
        <w:rPr>
          <w:rFonts w:hint="eastAsia" w:ascii="宋体" w:hAnsi="宋体" w:eastAsia="宋体" w:cs="宋体"/>
          <w:b/>
          <w:bCs/>
          <w:color w:val="auto"/>
          <w:sz w:val="24"/>
          <w:szCs w:val="24"/>
          <w:highlight w:val="none"/>
          <w:lang w:eastAsia="zh-CN" w:bidi="ar"/>
        </w:rPr>
        <w:t>；</w:t>
      </w:r>
      <w:r>
        <w:rPr>
          <w:rFonts w:hint="eastAsia" w:ascii="宋体" w:hAnsi="宋体" w:eastAsia="宋体" w:cs="宋体"/>
          <w:b/>
          <w:bCs/>
          <w:color w:val="auto"/>
          <w:sz w:val="24"/>
          <w:szCs w:val="24"/>
          <w:highlight w:val="none"/>
          <w:lang w:val="en-US" w:eastAsia="zh-CN" w:bidi="ar"/>
        </w:rPr>
        <w:t>未打“</w:t>
      </w:r>
      <w:r>
        <w:rPr>
          <w:rFonts w:hint="eastAsia" w:ascii="宋体" w:hAnsi="宋体" w:eastAsia="宋体" w:cs="宋体"/>
          <w:color w:val="auto"/>
          <w:sz w:val="24"/>
          <w:szCs w:val="24"/>
          <w:highlight w:val="none"/>
          <w:lang w:bidi="ar"/>
        </w:rPr>
        <w:t>▲</w:t>
      </w:r>
      <w:r>
        <w:rPr>
          <w:rFonts w:hint="eastAsia" w:ascii="宋体" w:hAnsi="宋体" w:eastAsia="宋体" w:cs="宋体"/>
          <w:b/>
          <w:bCs/>
          <w:color w:val="auto"/>
          <w:sz w:val="24"/>
          <w:szCs w:val="24"/>
          <w:highlight w:val="none"/>
          <w:lang w:val="en-US" w:eastAsia="zh-CN" w:bidi="ar"/>
        </w:rPr>
        <w:t>”项大于三项为负偏离的，亦视为</w:t>
      </w:r>
      <w:r>
        <w:rPr>
          <w:rFonts w:hint="eastAsia" w:ascii="宋体" w:hAnsi="宋体" w:eastAsia="宋体" w:cs="宋体"/>
          <w:b/>
          <w:bCs/>
          <w:color w:val="auto"/>
          <w:sz w:val="24"/>
          <w:szCs w:val="24"/>
          <w:highlight w:val="none"/>
          <w:lang w:bidi="ar"/>
        </w:rPr>
        <w:t xml:space="preserve">竞标无效。 </w:t>
      </w:r>
    </w:p>
    <w:p>
      <w:pPr>
        <w:pStyle w:val="18"/>
        <w:keepLines w:val="0"/>
        <w:pageBreakBefore w:val="0"/>
        <w:kinsoku/>
        <w:wordWrap/>
        <w:overflowPunct/>
        <w:topLinePunct w:val="0"/>
        <w:autoSpaceDE/>
        <w:autoSpaceDN/>
        <w:bidi w:val="0"/>
        <w:spacing w:before="0" w:after="0" w:line="400" w:lineRule="exact"/>
        <w:ind w:firstLine="441" w:firstLineChars="183"/>
        <w:rPr>
          <w:rFonts w:hint="eastAsia" w:hAnsi="宋体" w:cs="宋体"/>
          <w:b/>
          <w:color w:val="auto"/>
          <w:szCs w:val="24"/>
          <w:highlight w:val="none"/>
        </w:rPr>
      </w:pPr>
      <w:r>
        <w:rPr>
          <w:rFonts w:hint="eastAsia" w:hAnsi="宋体" w:cs="宋体"/>
          <w:b/>
          <w:color w:val="auto"/>
          <w:szCs w:val="24"/>
          <w:highlight w:val="none"/>
        </w:rPr>
        <w:t>本一览表中的规格要求不明确或有误的，请以详细、正确的规格要求同时填写竞标报价表和规格偏离表。</w:t>
      </w:r>
    </w:p>
    <w:p>
      <w:pPr>
        <w:rPr>
          <w:rFonts w:hint="eastAsia"/>
        </w:rPr>
      </w:pPr>
    </w:p>
    <w:tbl>
      <w:tblPr>
        <w:tblStyle w:val="21"/>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850"/>
        <w:gridCol w:w="821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72"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参数性质</w:t>
            </w:r>
          </w:p>
        </w:tc>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b/>
                <w:bCs/>
                <w:color w:val="000000"/>
                <w:sz w:val="21"/>
                <w:szCs w:val="21"/>
              </w:rPr>
            </w:pPr>
            <w:r>
              <w:rPr>
                <w:rFonts w:hint="eastAsia" w:ascii="宋体" w:hAnsi="宋体" w:cs="宋体"/>
                <w:color w:val="000000"/>
                <w:szCs w:val="21"/>
                <w:highlight w:val="none"/>
              </w:rPr>
              <w:t>技术参</w:t>
            </w:r>
            <w:r>
              <w:rPr>
                <w:rFonts w:hint="eastAsia" w:ascii="宋体" w:hAnsi="宋体" w:cs="宋体"/>
                <w:color w:val="000000"/>
                <w:szCs w:val="21"/>
                <w:highlight w:val="none"/>
                <w:shd w:val="clear"/>
              </w:rPr>
              <w:t>数及性能配置要</w:t>
            </w:r>
            <w:r>
              <w:rPr>
                <w:rFonts w:hint="eastAsia" w:ascii="宋体" w:hAnsi="宋体" w:cs="宋体"/>
                <w:color w:val="000000"/>
                <w:szCs w:val="21"/>
                <w:highlight w:val="none"/>
              </w:rPr>
              <w:t>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3"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r>
              <w:rPr>
                <w:rFonts w:hint="eastAsia" w:ascii="宋体" w:hAnsi="宋体" w:eastAsia="宋体" w:cs="宋体"/>
                <w:color w:val="000000"/>
                <w:sz w:val="24"/>
                <w:szCs w:val="24"/>
                <w:lang w:val="en-US" w:eastAsia="zh-CN"/>
              </w:rPr>
              <w:t>▲</w:t>
            </w: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both"/>
              <w:rPr>
                <w:rFonts w:hint="eastAsia" w:ascii="宋体" w:hAnsi="宋体" w:eastAsia="宋体" w:cs="宋体"/>
                <w:color w:val="000000"/>
                <w:sz w:val="24"/>
                <w:szCs w:val="24"/>
              </w:rPr>
            </w:pPr>
            <w:r>
              <w:rPr>
                <w:rFonts w:hint="eastAsia" w:ascii="宋体" w:hAnsi="宋体" w:eastAsia="宋体" w:cs="宋体"/>
                <w:b/>
                <w:bCs/>
                <w:color w:val="000000"/>
                <w:sz w:val="24"/>
                <w:szCs w:val="24"/>
                <w:u w:val="none"/>
                <w:lang w:val="en-US" w:eastAsia="zh-CN"/>
              </w:rPr>
              <w:t>1、</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u w:val="none"/>
              </w:rPr>
              <w:t>设备具备舌象、脉象、体质辨识、面诊功能，由主机、预装软件、各级采集器及配套附件组成；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4"/>
                <w:szCs w:val="24"/>
                <w:lang w:val="en-US" w:eastAsia="zh-CN"/>
              </w:rPr>
              <w:t>▲</w:t>
            </w: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u w:val="none"/>
              </w:rPr>
              <w:t>体质辨识问诊量表及判定标准符合中华中医药学会标准ZYYXH/T 157--2009《中医体质分类与判定》要求；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0" w:type="auto"/>
            <w:noWrap w:val="0"/>
            <w:vAlign w:val="top"/>
          </w:tcPr>
          <w:p>
            <w:pPr>
              <w:keepNext w:val="0"/>
              <w:keepLines w:val="0"/>
              <w:pageBreakBefore w:val="0"/>
              <w:kinsoku/>
              <w:wordWrap/>
              <w:overflowPunct/>
              <w:topLinePunct w:val="0"/>
              <w:autoSpaceDE/>
              <w:autoSpaceDN/>
              <w:bidi w:val="0"/>
              <w:adjustRightInd/>
              <w:snapToGrid/>
              <w:spacing w:line="400" w:lineRule="exact"/>
              <w:ind w:left="0" w:firstLine="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000000"/>
                <w:sz w:val="24"/>
                <w:szCs w:val="24"/>
              </w:rPr>
              <w:t>设备可针对</w:t>
            </w:r>
            <w:r>
              <w:rPr>
                <w:rFonts w:hint="eastAsia" w:ascii="宋体" w:hAnsi="宋体" w:eastAsia="宋体" w:cs="宋体"/>
                <w:color w:val="000000"/>
                <w:sz w:val="24"/>
                <w:szCs w:val="24"/>
                <w:lang w:val="en-US" w:eastAsia="zh-CN"/>
              </w:rPr>
              <w:t>九种体质、58种相兼型体质分析、妇女、儿童、老人等</w:t>
            </w:r>
            <w:r>
              <w:rPr>
                <w:rFonts w:hint="eastAsia" w:ascii="宋体" w:hAnsi="宋体" w:eastAsia="宋体" w:cs="宋体"/>
                <w:color w:val="000000"/>
                <w:sz w:val="24"/>
                <w:szCs w:val="24"/>
              </w:rPr>
              <w:t>不同场景选择体质辨识；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p>
        </w:tc>
        <w:tc>
          <w:tcPr>
            <w:tcW w:w="0" w:type="auto"/>
            <w:noWrap w:val="0"/>
            <w:vAlign w:val="top"/>
          </w:tcPr>
          <w:p>
            <w:pPr>
              <w:keepNext w:val="0"/>
              <w:keepLines w:val="0"/>
              <w:pageBreakBefore w:val="0"/>
              <w:kinsoku/>
              <w:wordWrap/>
              <w:overflowPunct/>
              <w:topLinePunct w:val="0"/>
              <w:autoSpaceDE/>
              <w:autoSpaceDN/>
              <w:bidi w:val="0"/>
              <w:adjustRightInd/>
              <w:snapToGrid/>
              <w:spacing w:line="400" w:lineRule="exact"/>
              <w:ind w:left="0" w:firstLine="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u w:val="none"/>
              </w:rPr>
              <w:t>设备可根据体质检测结果，给出易发疾病倾向，并提供相应养生调养方案</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并给出合理的养生调养指导和经典处方建议</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养生干预方案包含饮食调理、经穴养生、运动调理、食疗食谱等内容，为被测试者提供个体化的健康养生指导建议；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4"/>
                <w:szCs w:val="24"/>
                <w:lang w:val="en-US" w:eastAsia="zh-CN"/>
              </w:rPr>
              <w:t>▲</w:t>
            </w: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w:t>
            </w:r>
          </w:p>
        </w:tc>
        <w:tc>
          <w:tcPr>
            <w:tcW w:w="0" w:type="auto"/>
            <w:noWrap w:val="0"/>
            <w:vAlign w:val="top"/>
          </w:tcPr>
          <w:p>
            <w:pPr>
              <w:keepNext w:val="0"/>
              <w:keepLines w:val="0"/>
              <w:pageBreakBefore w:val="0"/>
              <w:kinsoku/>
              <w:wordWrap/>
              <w:overflowPunct/>
              <w:topLinePunct w:val="0"/>
              <w:autoSpaceDE/>
              <w:autoSpaceDN/>
              <w:bidi w:val="0"/>
              <w:adjustRightInd/>
              <w:snapToGrid/>
              <w:spacing w:line="400" w:lineRule="exact"/>
              <w:ind w:left="0" w:firstLine="0"/>
              <w:jc w:val="left"/>
              <w:rPr>
                <w:rFonts w:hint="eastAsia" w:ascii="宋体" w:hAnsi="宋体" w:eastAsia="宋体" w:cs="宋体"/>
                <w:b/>
                <w:bCs/>
                <w:kern w:val="2"/>
                <w:sz w:val="24"/>
                <w:szCs w:val="24"/>
                <w:lang w:val="en-US" w:eastAsia="zh-CN" w:bidi="ar-SA"/>
              </w:rPr>
            </w:pPr>
            <w:r>
              <w:rPr>
                <w:rFonts w:hint="eastAsia" w:ascii="宋体" w:hAnsi="宋体" w:eastAsia="宋体" w:cs="宋体"/>
                <w:color w:val="000000"/>
                <w:sz w:val="24"/>
                <w:szCs w:val="24"/>
              </w:rPr>
              <w:t>为确保采脉方式符合中医浮中沉诊脉指法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设备</w:t>
            </w:r>
            <w:r>
              <w:rPr>
                <w:rFonts w:hint="eastAsia" w:ascii="宋体" w:hAnsi="宋体" w:eastAsia="宋体" w:cs="宋体"/>
                <w:color w:val="000000"/>
                <w:sz w:val="24"/>
                <w:szCs w:val="24"/>
                <w:lang w:val="en-US" w:eastAsia="zh-CN"/>
              </w:rPr>
              <w:t>需</w:t>
            </w:r>
            <w:r>
              <w:rPr>
                <w:rFonts w:hint="eastAsia" w:ascii="宋体" w:hAnsi="宋体" w:eastAsia="宋体" w:cs="宋体"/>
                <w:color w:val="000000"/>
                <w:sz w:val="24"/>
                <w:szCs w:val="24"/>
              </w:rPr>
              <w:t>具有气动无极梯度加压模式</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为</w:t>
            </w:r>
            <w:r>
              <w:rPr>
                <w:rFonts w:hint="eastAsia" w:ascii="宋体" w:hAnsi="宋体" w:eastAsia="宋体" w:cs="宋体"/>
                <w:color w:val="000000"/>
                <w:sz w:val="24"/>
                <w:szCs w:val="24"/>
              </w:rPr>
              <w:t>便于快速确定脉位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配有腕带脉象采集组件</w:t>
            </w:r>
            <w:r>
              <w:rPr>
                <w:rFonts w:hint="eastAsia" w:ascii="宋体" w:hAnsi="宋体" w:eastAsia="宋体" w:cs="宋体"/>
                <w:color w:val="000000"/>
                <w:sz w:val="24"/>
                <w:szCs w:val="24"/>
                <w:lang w:val="en-US" w:eastAsia="zh-CN"/>
              </w:rPr>
              <w:t>确定寸关尺位置，采集脉象参数；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4"/>
                <w:szCs w:val="24"/>
                <w:lang w:val="en-US" w:eastAsia="zh-CN"/>
              </w:rPr>
              <w:t>▲</w:t>
            </w: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val="en-US" w:eastAsia="zh-CN"/>
              </w:rPr>
              <w:t>具有对脉象数据中“时间”、“波幅”、“角度”、“比值”、“滑涩度”、“虚实度”、“脉率”以及“脉象类型”的分析功能；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28"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val="en-US" w:eastAsia="zh-CN"/>
              </w:rPr>
              <w:t>支持历史病例报告批量生成功能，导出数据具有脉象参数的详细数据；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0" w:type="auto"/>
            <w:noWrap w:val="0"/>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具有初诊、复诊等多次检测结果的查询、病案同屏对比功能；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0" w:type="auto"/>
            <w:noWrap w:val="0"/>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0" w:firstLine="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具备快速生成复诊病例功能，并支持快速检测病例统计导出功能；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0" w:type="auto"/>
            <w:noWrap w:val="0"/>
            <w:vAlign w:val="top"/>
          </w:tcPr>
          <w:p>
            <w:pPr>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color w:val="000000"/>
                <w:sz w:val="24"/>
                <w:szCs w:val="24"/>
              </w:rPr>
              <w:t>脉图采集界面中可实时显示静压值；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11、</w:t>
            </w:r>
          </w:p>
        </w:tc>
        <w:tc>
          <w:tcPr>
            <w:tcW w:w="0" w:type="auto"/>
            <w:noWrap w:val="0"/>
            <w:vAlign w:val="top"/>
          </w:tcPr>
          <w:p>
            <w:pPr>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val="en-US" w:eastAsia="zh-CN"/>
              </w:rPr>
              <w:t>脉象主机采样率≥24位精度，脉象传感器模块灵敏度≥3.6mV/g</w:t>
            </w:r>
            <w:r>
              <w:rPr>
                <w:rFonts w:hint="eastAsia" w:ascii="宋体" w:hAnsi="宋体" w:eastAsia="宋体" w:cs="宋体"/>
                <w:color w:val="000000"/>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12、</w:t>
            </w:r>
          </w:p>
        </w:tc>
        <w:tc>
          <w:tcPr>
            <w:tcW w:w="0" w:type="auto"/>
            <w:noWrap w:val="0"/>
            <w:vAlign w:val="top"/>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脉象设备在正常工作及单一故障状态下，对测量位置施加的最大外加力学量不超过 80kPa</w:t>
            </w:r>
            <w:r>
              <w:rPr>
                <w:rFonts w:hint="eastAsia" w:ascii="宋体" w:hAnsi="宋体" w:eastAsia="宋体" w:cs="宋体"/>
                <w:color w:val="000000"/>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13、</w:t>
            </w:r>
          </w:p>
        </w:tc>
        <w:tc>
          <w:tcPr>
            <w:tcW w:w="0" w:type="auto"/>
            <w:noWrap w:val="0"/>
            <w:vAlign w:val="top"/>
          </w:tcPr>
          <w:p>
            <w:pPr>
              <w:keepLines w:val="0"/>
              <w:pageBreakBefore w:val="0"/>
              <w:kinsoku/>
              <w:wordWrap/>
              <w:overflowPunct/>
              <w:topLinePunct w:val="0"/>
              <w:autoSpaceDE/>
              <w:autoSpaceDN/>
              <w:bidi w:val="0"/>
              <w:spacing w:line="400" w:lineRule="exact"/>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脉压在 0g~80g范围内,对脉压测量误差不超过±</w:t>
            </w:r>
            <w:r>
              <w:rPr>
                <w:rFonts w:hint="eastAsia" w:ascii="宋体" w:hAnsi="宋体" w:eastAsia="宋体" w:cs="宋体"/>
                <w:color w:val="000000"/>
                <w:sz w:val="24"/>
                <w:szCs w:val="24"/>
                <w:lang w:val="en-US" w:eastAsia="zh-CN"/>
              </w:rPr>
              <w:t>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kern w:val="2"/>
                <w:sz w:val="21"/>
                <w:szCs w:val="21"/>
                <w:lang w:val="en-US" w:eastAsia="zh-CN" w:bidi="ar-SA"/>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14、</w:t>
            </w:r>
          </w:p>
        </w:tc>
        <w:tc>
          <w:tcPr>
            <w:tcW w:w="0" w:type="auto"/>
            <w:noWrap w:val="0"/>
            <w:vAlign w:val="top"/>
          </w:tcPr>
          <w:p>
            <w:pPr>
              <w:pStyle w:val="9"/>
              <w:keepNext w:val="0"/>
              <w:keepLines w:val="0"/>
              <w:pageBreakBefore w:val="0"/>
              <w:numPr>
                <w:ilvl w:val="0"/>
                <w:numId w:val="0"/>
              </w:numPr>
              <w:kinsoku/>
              <w:wordWrap/>
              <w:overflowPunct/>
              <w:topLinePunct w:val="0"/>
              <w:autoSpaceDE/>
              <w:autoSpaceDN/>
              <w:bidi w:val="0"/>
              <w:adjustRightInd/>
              <w:snapToGrid/>
              <w:spacing w:after="0" w:line="400" w:lineRule="exact"/>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val="en-US" w:eastAsia="zh-CN"/>
              </w:rPr>
              <w:t>脉率测量范围40次/min~200 次/min,分辨率1次/min测量值最大误差</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 次/min。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0" w:type="auto"/>
            <w:noWrap w:val="0"/>
            <w:vAlign w:val="top"/>
          </w:tcPr>
          <w:p>
            <w:pPr>
              <w:keepLines w:val="0"/>
              <w:pageBreakBefore w:val="0"/>
              <w:kinsoku/>
              <w:wordWrap/>
              <w:overflowPunct/>
              <w:topLinePunct w:val="0"/>
              <w:autoSpaceDE/>
              <w:autoSpaceDN/>
              <w:bidi w:val="0"/>
              <w:spacing w:line="4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快速泄压功能：在正常状态及单一故障下，可在12s内将外加力学量泄放到2.5kPa以下，电源中断情况下仍满足要求；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7"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0" w:type="auto"/>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压力稳定性：压力控制模块在0至70kPa范围内，压力稳定后的1min内，压力无变化；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0" w:type="auto"/>
            <w:noWrap w:val="0"/>
            <w:vAlign w:val="top"/>
          </w:tcPr>
          <w:p>
            <w:pPr>
              <w:keepNext w:val="0"/>
              <w:keepLines w:val="0"/>
              <w:pageBreakBefore w:val="0"/>
              <w:kinsoku/>
              <w:wordWrap/>
              <w:overflowPunct/>
              <w:topLinePunct w:val="0"/>
              <w:autoSpaceDE/>
              <w:autoSpaceDN/>
              <w:bidi w:val="0"/>
              <w:adjustRightInd/>
              <w:snapToGrid/>
              <w:spacing w:line="400" w:lineRule="exact"/>
              <w:ind w:left="0" w:firstLine="0"/>
              <w:jc w:val="left"/>
              <w:rPr>
                <w:rFonts w:hint="eastAsia" w:ascii="宋体" w:hAnsi="宋体" w:eastAsia="宋体" w:cs="宋体"/>
                <w:sz w:val="24"/>
                <w:szCs w:val="24"/>
              </w:rPr>
            </w:pPr>
            <w:r>
              <w:rPr>
                <w:rFonts w:hint="eastAsia" w:ascii="宋体" w:hAnsi="宋体" w:eastAsia="宋体" w:cs="宋体"/>
                <w:color w:val="000000"/>
                <w:sz w:val="24"/>
                <w:szCs w:val="24"/>
              </w:rPr>
              <w:t>安全性：腕带与传感器之间具有分体式结构，可在任意状态下解除传感器与患者之间的接触，解除传感器模块对患者取脉部位的束缚；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0" w:type="auto"/>
            <w:noWrap w:val="0"/>
            <w:vAlign w:val="top"/>
          </w:tcPr>
          <w:p>
            <w:pPr>
              <w:pStyle w:val="9"/>
              <w:keepNext w:val="0"/>
              <w:keepLines w:val="0"/>
              <w:pageBreakBefore w:val="0"/>
              <w:numPr>
                <w:ilvl w:val="0"/>
                <w:numId w:val="0"/>
              </w:numPr>
              <w:kinsoku/>
              <w:wordWrap/>
              <w:overflowPunct/>
              <w:topLinePunct w:val="0"/>
              <w:autoSpaceDE/>
              <w:autoSpaceDN/>
              <w:bidi w:val="0"/>
              <w:adjustRightInd/>
              <w:snapToGrid/>
              <w:spacing w:after="0" w:line="400" w:lineRule="exact"/>
              <w:ind w:left="0" w:firstLine="0"/>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舌象检测结果应包括但不限于舌神、舌形、裂纹、瘀斑、齿痕、点刺、舌色、舌态、苔质、苔色；</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0" w:type="auto"/>
            <w:noWrap w:val="0"/>
            <w:vAlign w:val="top"/>
          </w:tcPr>
          <w:p>
            <w:pPr>
              <w:keepLines w:val="0"/>
              <w:pageBreakBefore w:val="0"/>
              <w:kinsoku/>
              <w:wordWrap/>
              <w:overflowPunct/>
              <w:topLinePunct w:val="0"/>
              <w:autoSpaceDE/>
              <w:autoSpaceDN/>
              <w:bidi w:val="0"/>
              <w:spacing w:line="400" w:lineRule="exact"/>
              <w:jc w:val="left"/>
              <w:rPr>
                <w:rFonts w:hint="eastAsia" w:ascii="宋体" w:hAnsi="宋体" w:eastAsia="宋体" w:cs="宋体"/>
                <w:sz w:val="24"/>
                <w:szCs w:val="24"/>
                <w:lang w:eastAsia="zh-CN"/>
              </w:rPr>
            </w:pPr>
            <w:r>
              <w:rPr>
                <w:rFonts w:hint="eastAsia" w:ascii="宋体" w:hAnsi="宋体" w:eastAsia="宋体" w:cs="宋体"/>
                <w:color w:val="000000"/>
                <w:sz w:val="24"/>
                <w:szCs w:val="24"/>
              </w:rPr>
              <w:t>舌面象采集箱光源模块显色指数≥</w:t>
            </w:r>
            <w:r>
              <w:rPr>
                <w:rFonts w:hint="eastAsia" w:ascii="宋体" w:hAnsi="宋体" w:eastAsia="宋体" w:cs="宋体"/>
                <w:color w:val="000000"/>
                <w:sz w:val="24"/>
                <w:szCs w:val="24"/>
                <w:lang w:val="en-US" w:eastAsia="zh-CN"/>
              </w:rPr>
              <w:t>95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none"/>
              </w:rPr>
              <w:t>色温范围在</w:t>
            </w:r>
            <w:r>
              <w:rPr>
                <w:rFonts w:hint="eastAsia" w:ascii="宋体" w:hAnsi="宋体" w:eastAsia="宋体" w:cs="宋体"/>
                <w:color w:val="000000"/>
                <w:sz w:val="24"/>
                <w:szCs w:val="24"/>
                <w:u w:val="none"/>
                <w:lang w:val="en-US" w:eastAsia="zh-CN"/>
              </w:rPr>
              <w:t>50</w:t>
            </w:r>
            <w:r>
              <w:rPr>
                <w:rFonts w:hint="eastAsia" w:ascii="宋体" w:hAnsi="宋体" w:eastAsia="宋体" w:cs="宋体"/>
                <w:color w:val="000000"/>
                <w:sz w:val="24"/>
                <w:szCs w:val="24"/>
                <w:u w:val="none"/>
              </w:rPr>
              <w:t>00k～</w:t>
            </w:r>
            <w:r>
              <w:rPr>
                <w:rFonts w:hint="eastAsia" w:ascii="宋体" w:hAnsi="宋体" w:eastAsia="宋体" w:cs="宋体"/>
                <w:color w:val="000000"/>
                <w:sz w:val="24"/>
                <w:szCs w:val="24"/>
                <w:u w:val="none"/>
                <w:lang w:val="en-US" w:eastAsia="zh-CN"/>
              </w:rPr>
              <w:t>58</w:t>
            </w:r>
            <w:r>
              <w:rPr>
                <w:rFonts w:hint="eastAsia" w:ascii="宋体" w:hAnsi="宋体" w:eastAsia="宋体" w:cs="宋体"/>
                <w:color w:val="000000"/>
                <w:sz w:val="24"/>
                <w:szCs w:val="24"/>
                <w:u w:val="none"/>
              </w:rPr>
              <w:t>00k；</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0" w:type="auto"/>
            <w:noWrap w:val="0"/>
            <w:vAlign w:val="top"/>
          </w:tcPr>
          <w:p>
            <w:pPr>
              <w:keepLines w:val="0"/>
              <w:pageBreakBefore w:val="0"/>
              <w:kinsoku/>
              <w:wordWrap/>
              <w:overflowPunct/>
              <w:topLinePunct w:val="0"/>
              <w:autoSpaceDE/>
              <w:autoSpaceDN/>
              <w:bidi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舌面象采集箱光源模块照度在标称值的±9%范围之内；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000000"/>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21、</w:t>
            </w:r>
          </w:p>
        </w:tc>
        <w:tc>
          <w:tcPr>
            <w:tcW w:w="0" w:type="auto"/>
            <w:noWrap w:val="0"/>
            <w:vAlign w:val="top"/>
          </w:tcPr>
          <w:p>
            <w:pPr>
              <w:pStyle w:val="9"/>
              <w:keepNext w:val="0"/>
              <w:keepLines w:val="0"/>
              <w:pageBreakBefore w:val="0"/>
              <w:numPr>
                <w:ilvl w:val="0"/>
                <w:numId w:val="0"/>
              </w:numPr>
              <w:kinsoku/>
              <w:wordWrap/>
              <w:overflowPunct/>
              <w:topLinePunct w:val="0"/>
              <w:autoSpaceDE/>
              <w:autoSpaceDN/>
              <w:bidi w:val="0"/>
              <w:adjustRightInd/>
              <w:snapToGrid/>
              <w:spacing w:after="0" w:line="400" w:lineRule="exact"/>
              <w:ind w:left="0" w:firstLine="0"/>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color w:val="000000"/>
                <w:sz w:val="24"/>
                <w:szCs w:val="24"/>
                <w:lang w:val="en-US" w:eastAsia="zh-CN"/>
              </w:rPr>
              <w:t>舌面采集</w:t>
            </w:r>
            <w:r>
              <w:rPr>
                <w:rFonts w:hint="eastAsia" w:ascii="宋体" w:hAnsi="宋体" w:eastAsia="宋体" w:cs="宋体"/>
                <w:color w:val="000000"/>
                <w:sz w:val="24"/>
                <w:szCs w:val="24"/>
              </w:rPr>
              <w:t>成像分辨率≥</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lp/mm，像素≥</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800万；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0" w:type="auto"/>
            <w:noWrap w:val="0"/>
            <w:vAlign w:val="top"/>
          </w:tcPr>
          <w:p>
            <w:pPr>
              <w:pStyle w:val="9"/>
              <w:keepNext w:val="0"/>
              <w:keepLines w:val="0"/>
              <w:pageBreakBefore w:val="0"/>
              <w:numPr>
                <w:ilvl w:val="0"/>
                <w:numId w:val="0"/>
              </w:numPr>
              <w:kinsoku/>
              <w:wordWrap/>
              <w:overflowPunct/>
              <w:topLinePunct w:val="0"/>
              <w:autoSpaceDE/>
              <w:autoSpaceDN/>
              <w:bidi w:val="0"/>
              <w:adjustRightInd/>
              <w:snapToGrid/>
              <w:spacing w:after="0" w:line="400" w:lineRule="exact"/>
              <w:ind w:left="0" w:firstLine="0"/>
              <w:jc w:val="left"/>
              <w:rPr>
                <w:rStyle w:val="53"/>
                <w:rFonts w:hint="eastAsia" w:ascii="宋体" w:hAnsi="宋体" w:eastAsia="宋体" w:cs="宋体"/>
                <w:color w:val="auto"/>
                <w:sz w:val="24"/>
                <w:szCs w:val="24"/>
                <w:lang w:val="en-US" w:eastAsia="zh-CN" w:bidi="ar"/>
              </w:rPr>
            </w:pPr>
            <w:r>
              <w:rPr>
                <w:rFonts w:hint="eastAsia" w:ascii="宋体" w:hAnsi="宋体" w:eastAsia="宋体" w:cs="宋体"/>
                <w:color w:val="000000"/>
                <w:sz w:val="24"/>
                <w:szCs w:val="24"/>
                <w:lang w:val="en-US" w:eastAsia="zh-CN"/>
              </w:rPr>
              <w:t>舌面采集</w:t>
            </w:r>
            <w:r>
              <w:rPr>
                <w:rFonts w:hint="eastAsia" w:ascii="宋体" w:hAnsi="宋体" w:eastAsia="宋体" w:cs="宋体"/>
                <w:color w:val="000000"/>
                <w:sz w:val="24"/>
                <w:szCs w:val="24"/>
              </w:rPr>
              <w:t>色彩还原度：成像装置对色彩准确还原,对标准色卡上的色彩成像后,各色在 CIE LAB 色空间的色差小于</w:t>
            </w: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0" w:type="auto"/>
            <w:noWrap w:val="0"/>
            <w:vAlign w:val="top"/>
          </w:tcPr>
          <w:p>
            <w:pPr>
              <w:pStyle w:val="9"/>
              <w:keepNext w:val="0"/>
              <w:keepLines w:val="0"/>
              <w:pageBreakBefore w:val="0"/>
              <w:numPr>
                <w:ilvl w:val="0"/>
                <w:numId w:val="0"/>
              </w:numPr>
              <w:kinsoku/>
              <w:wordWrap/>
              <w:overflowPunct/>
              <w:topLinePunct w:val="0"/>
              <w:autoSpaceDE/>
              <w:autoSpaceDN/>
              <w:bidi w:val="0"/>
              <w:adjustRightInd/>
              <w:snapToGrid/>
              <w:spacing w:after="0" w:line="400" w:lineRule="exact"/>
              <w:ind w:left="0" w:firstLine="0"/>
              <w:jc w:val="left"/>
              <w:rPr>
                <w:rStyle w:val="53"/>
                <w:rFonts w:hint="eastAsia" w:ascii="宋体" w:hAnsi="宋体" w:eastAsia="宋体" w:cs="宋体"/>
                <w:color w:val="auto"/>
                <w:sz w:val="24"/>
                <w:szCs w:val="24"/>
                <w:lang w:val="en-US" w:eastAsia="zh-CN" w:bidi="ar"/>
              </w:rPr>
            </w:pPr>
            <w:r>
              <w:rPr>
                <w:rFonts w:hint="eastAsia" w:ascii="宋体" w:hAnsi="宋体" w:eastAsia="宋体" w:cs="宋体"/>
                <w:color w:val="000000"/>
                <w:sz w:val="24"/>
                <w:szCs w:val="24"/>
              </w:rPr>
              <w:t>舌面象采集箱具有紫外消毒功能</w:t>
            </w:r>
            <w:r>
              <w:rPr>
                <w:rFonts w:hint="eastAsia" w:ascii="宋体" w:hAnsi="宋体" w:eastAsia="宋体" w:cs="宋体"/>
                <w:color w:val="000000"/>
                <w:sz w:val="24"/>
                <w:szCs w:val="24"/>
                <w:lang w:val="en-US" w:eastAsia="zh-CN"/>
              </w:rPr>
              <w:t>和</w:t>
            </w:r>
            <w:r>
              <w:rPr>
                <w:rFonts w:hint="eastAsia" w:ascii="宋体" w:hAnsi="宋体" w:eastAsia="宋体" w:cs="宋体"/>
                <w:color w:val="000000"/>
                <w:sz w:val="24"/>
                <w:szCs w:val="24"/>
              </w:rPr>
              <w:t>吸入式通风功能；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r>
              <w:rPr>
                <w:rFonts w:hint="eastAsia" w:ascii="宋体" w:hAnsi="宋体" w:eastAsia="宋体" w:cs="宋体"/>
                <w:color w:val="000000"/>
                <w:sz w:val="24"/>
                <w:szCs w:val="24"/>
                <w:lang w:val="en-US" w:eastAsia="zh-CN"/>
              </w:rPr>
              <w:t>▲</w:t>
            </w: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0" w:type="auto"/>
            <w:noWrap w:val="0"/>
            <w:vAlign w:val="top"/>
          </w:tcPr>
          <w:p>
            <w:pPr>
              <w:pStyle w:val="9"/>
              <w:keepNext w:val="0"/>
              <w:keepLines w:val="0"/>
              <w:pageBreakBefore w:val="0"/>
              <w:numPr>
                <w:ilvl w:val="0"/>
                <w:numId w:val="0"/>
              </w:numPr>
              <w:kinsoku/>
              <w:wordWrap/>
              <w:overflowPunct/>
              <w:topLinePunct w:val="0"/>
              <w:autoSpaceDE/>
              <w:autoSpaceDN/>
              <w:bidi w:val="0"/>
              <w:adjustRightInd/>
              <w:snapToGrid/>
              <w:spacing w:after="0" w:line="400" w:lineRule="exact"/>
              <w:ind w:left="0" w:firstLine="0"/>
              <w:jc w:val="left"/>
              <w:rPr>
                <w:rStyle w:val="53"/>
                <w:rFonts w:hint="eastAsia" w:ascii="宋体" w:hAnsi="宋体" w:eastAsia="宋体" w:cs="宋体"/>
                <w:color w:val="auto"/>
                <w:sz w:val="24"/>
                <w:szCs w:val="24"/>
                <w:lang w:val="en-US" w:eastAsia="zh-CN" w:bidi="ar"/>
              </w:rPr>
            </w:pPr>
            <w:r>
              <w:rPr>
                <w:rFonts w:hint="eastAsia" w:ascii="宋体" w:hAnsi="宋体" w:eastAsia="宋体" w:cs="宋体"/>
                <w:sz w:val="24"/>
                <w:szCs w:val="24"/>
              </w:rPr>
              <w:t>具备经典处方模块，可根据医生选择，数据库给出建议经典处方方案，包括饮片及中成药，供医生诊断参考之用</w:t>
            </w:r>
            <w:r>
              <w:rPr>
                <w:rFonts w:hint="eastAsia" w:ascii="宋体" w:hAnsi="宋体" w:eastAsia="宋体" w:cs="宋体"/>
                <w:sz w:val="24"/>
                <w:szCs w:val="24"/>
                <w:lang w:val="en-US"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Style w:val="53"/>
                <w:rFonts w:hint="eastAsia" w:ascii="宋体" w:hAnsi="宋体" w:eastAsia="宋体" w:cs="宋体"/>
                <w:color w:val="auto"/>
                <w:sz w:val="24"/>
                <w:szCs w:val="24"/>
                <w:lang w:val="en-US" w:eastAsia="zh-CN" w:bidi="ar"/>
              </w:rPr>
            </w:pPr>
            <w:r>
              <w:rPr>
                <w:rFonts w:hint="eastAsia" w:ascii="宋体" w:hAnsi="宋体" w:eastAsia="宋体" w:cs="宋体"/>
                <w:sz w:val="24"/>
                <w:szCs w:val="24"/>
              </w:rPr>
              <w:t>具备慢性病健康管理系统，可提供高血压</w:t>
            </w:r>
            <w:r>
              <w:rPr>
                <w:rFonts w:hint="eastAsia" w:ascii="宋体" w:hAnsi="宋体" w:eastAsia="宋体" w:cs="宋体"/>
                <w:sz w:val="24"/>
                <w:szCs w:val="24"/>
                <w:lang w:eastAsia="zh-CN"/>
              </w:rPr>
              <w:t>、</w:t>
            </w:r>
            <w:r>
              <w:rPr>
                <w:rFonts w:hint="eastAsia" w:ascii="宋体" w:hAnsi="宋体" w:eastAsia="宋体" w:cs="宋体"/>
                <w:sz w:val="24"/>
                <w:szCs w:val="24"/>
              </w:rPr>
              <w:t>高血糖</w:t>
            </w:r>
            <w:r>
              <w:rPr>
                <w:rFonts w:hint="eastAsia" w:ascii="宋体" w:hAnsi="宋体" w:eastAsia="宋体" w:cs="宋体"/>
                <w:sz w:val="24"/>
                <w:szCs w:val="24"/>
                <w:lang w:eastAsia="zh-CN"/>
              </w:rPr>
              <w:t>、</w:t>
            </w:r>
            <w:r>
              <w:rPr>
                <w:rFonts w:hint="eastAsia" w:ascii="宋体" w:hAnsi="宋体" w:eastAsia="宋体" w:cs="宋体"/>
                <w:sz w:val="24"/>
                <w:szCs w:val="24"/>
              </w:rPr>
              <w:t>高血脂</w:t>
            </w:r>
            <w:r>
              <w:rPr>
                <w:rFonts w:hint="eastAsia" w:ascii="宋体" w:hAnsi="宋体" w:eastAsia="宋体" w:cs="宋体"/>
                <w:sz w:val="24"/>
                <w:szCs w:val="24"/>
                <w:lang w:eastAsia="zh-CN"/>
              </w:rPr>
              <w:t>、</w:t>
            </w:r>
            <w:r>
              <w:rPr>
                <w:rFonts w:hint="eastAsia" w:ascii="宋体" w:hAnsi="宋体" w:eastAsia="宋体" w:cs="宋体"/>
                <w:sz w:val="24"/>
                <w:szCs w:val="24"/>
              </w:rPr>
              <w:t>高尿酸等慢病管理</w:t>
            </w:r>
            <w:r>
              <w:rPr>
                <w:rFonts w:hint="eastAsia" w:ascii="宋体" w:hAnsi="宋体" w:eastAsia="宋体" w:cs="宋体"/>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left"/>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26、</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b/>
                <w:bCs/>
                <w:color w:val="000000"/>
                <w:kern w:val="2"/>
                <w:sz w:val="24"/>
                <w:szCs w:val="24"/>
                <w:lang w:val="en-US" w:eastAsia="zh-CN" w:bidi="ar-SA"/>
              </w:rPr>
            </w:pPr>
            <w:r>
              <w:rPr>
                <w:rFonts w:hint="eastAsia" w:ascii="宋体" w:hAnsi="宋体" w:eastAsia="宋体" w:cs="宋体"/>
                <w:sz w:val="24"/>
                <w:szCs w:val="24"/>
              </w:rPr>
              <w:t>可针对</w:t>
            </w:r>
            <w:r>
              <w:rPr>
                <w:rFonts w:hint="eastAsia" w:ascii="宋体" w:hAnsi="宋体" w:eastAsia="宋体" w:cs="宋体"/>
                <w:sz w:val="24"/>
                <w:szCs w:val="24"/>
                <w:lang w:eastAsia="zh-CN"/>
              </w:rPr>
              <w:t>不同年龄阶段人群</w:t>
            </w:r>
            <w:r>
              <w:rPr>
                <w:rFonts w:hint="eastAsia" w:ascii="宋体" w:hAnsi="宋体" w:eastAsia="宋体" w:cs="宋体"/>
                <w:sz w:val="24"/>
                <w:szCs w:val="24"/>
              </w:rPr>
              <w:t>进行体质辨识</w:t>
            </w:r>
            <w:r>
              <w:rPr>
                <w:rFonts w:hint="eastAsia" w:ascii="宋体" w:hAnsi="宋体" w:eastAsia="宋体" w:cs="宋体"/>
                <w:sz w:val="24"/>
                <w:szCs w:val="24"/>
                <w:lang w:eastAsia="zh-CN"/>
              </w:rPr>
              <w:t>；具有中医体质辨别健康管理系统；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340"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both"/>
              <w:rPr>
                <w:rFonts w:hint="eastAsia" w:ascii="宋体" w:hAnsi="宋体" w:eastAsia="宋体" w:cs="宋体"/>
                <w:color w:val="auto"/>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Style w:val="53"/>
                <w:rFonts w:hint="eastAsia" w:ascii="宋体" w:hAnsi="宋体" w:eastAsia="宋体" w:cs="宋体"/>
                <w:color w:val="auto"/>
                <w:sz w:val="24"/>
                <w:szCs w:val="24"/>
                <w:lang w:val="en-US" w:eastAsia="zh-CN" w:bidi="ar"/>
              </w:rPr>
            </w:pPr>
            <w:r>
              <w:rPr>
                <w:rFonts w:hint="eastAsia" w:ascii="宋体" w:hAnsi="宋体" w:eastAsia="宋体" w:cs="宋体"/>
                <w:sz w:val="24"/>
                <w:szCs w:val="24"/>
              </w:rPr>
              <w:t>可根据中医舌象、脉象及问诊辨识等信息，自动判别、自动分析出中医体质以及对应的中医脏腑辨证分型；具备中医望闻问切四诊信息采集分析与综合诊断体质辨识</w:t>
            </w:r>
            <w:r>
              <w:rPr>
                <w:rFonts w:hint="eastAsia" w:ascii="宋体" w:hAnsi="宋体" w:eastAsia="宋体" w:cs="宋体"/>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r>
              <w:rPr>
                <w:rFonts w:hint="eastAsia" w:ascii="宋体" w:hAnsi="宋体" w:eastAsia="宋体" w:cs="宋体"/>
                <w:color w:val="000000"/>
                <w:sz w:val="24"/>
                <w:szCs w:val="24"/>
                <w:lang w:val="en-US" w:eastAsia="zh-CN"/>
              </w:rPr>
              <w:t>▲</w:t>
            </w: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0" w:type="auto"/>
            <w:noWrap w:val="0"/>
            <w:vAlign w:val="top"/>
          </w:tcPr>
          <w:p>
            <w:pPr>
              <w:pStyle w:val="9"/>
              <w:keepNext w:val="0"/>
              <w:keepLines w:val="0"/>
              <w:pageBreakBefore w:val="0"/>
              <w:numPr>
                <w:ilvl w:val="0"/>
                <w:numId w:val="0"/>
              </w:numPr>
              <w:kinsoku/>
              <w:wordWrap/>
              <w:overflowPunct/>
              <w:topLinePunct w:val="0"/>
              <w:autoSpaceDE/>
              <w:autoSpaceDN/>
              <w:bidi w:val="0"/>
              <w:adjustRightInd/>
              <w:snapToGrid/>
              <w:spacing w:after="0" w:line="400" w:lineRule="exact"/>
              <w:ind w:left="0" w:firstLine="0"/>
              <w:jc w:val="left"/>
              <w:rPr>
                <w:rStyle w:val="53"/>
                <w:rFonts w:hint="eastAsia" w:ascii="宋体" w:hAnsi="宋体" w:eastAsia="宋体" w:cs="宋体"/>
                <w:color w:val="auto"/>
                <w:sz w:val="24"/>
                <w:szCs w:val="24"/>
                <w:lang w:val="en-US" w:eastAsia="zh-CN" w:bidi="ar"/>
              </w:rPr>
            </w:pPr>
            <w:r>
              <w:rPr>
                <w:rFonts w:hint="eastAsia" w:ascii="宋体" w:hAnsi="宋体" w:eastAsia="宋体" w:cs="宋体"/>
                <w:sz w:val="24"/>
                <w:szCs w:val="24"/>
                <w:lang w:val="en-US" w:eastAsia="zh-CN"/>
              </w:rPr>
              <w:t>设备使用年限</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Style w:val="53"/>
                <w:rFonts w:hint="eastAsia" w:ascii="宋体" w:hAnsi="宋体" w:eastAsia="宋体" w:cs="宋体"/>
                <w:color w:val="auto"/>
                <w:sz w:val="24"/>
                <w:szCs w:val="24"/>
                <w:lang w:val="en-US" w:eastAsia="zh-CN" w:bidi="ar"/>
              </w:rPr>
            </w:pPr>
            <w:r>
              <w:rPr>
                <w:rFonts w:hint="eastAsia" w:ascii="宋体" w:hAnsi="宋体" w:eastAsia="宋体" w:cs="宋体"/>
                <w:color w:val="000000"/>
                <w:sz w:val="24"/>
                <w:szCs w:val="24"/>
                <w:lang w:val="en-US" w:eastAsia="zh-CN"/>
              </w:rPr>
              <w:t>设</w:t>
            </w:r>
            <w:bookmarkStart w:id="143" w:name="_GoBack"/>
            <w:bookmarkEnd w:id="143"/>
            <w:r>
              <w:rPr>
                <w:rFonts w:hint="eastAsia" w:ascii="宋体" w:hAnsi="宋体" w:eastAsia="宋体" w:cs="宋体"/>
                <w:color w:val="000000"/>
                <w:sz w:val="24"/>
                <w:szCs w:val="24"/>
                <w:lang w:val="en-US" w:eastAsia="zh-CN"/>
              </w:rPr>
              <w:t>备质保年限</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2年。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21" w:hRule="atLeast"/>
          <w:jc w:val="center"/>
        </w:trPr>
        <w:tc>
          <w:tcPr>
            <w:tcW w:w="0" w:type="auto"/>
            <w:noWrap w:val="0"/>
            <w:vAlign w:val="center"/>
          </w:tcPr>
          <w:p>
            <w:pPr>
              <w:keepNext w:val="0"/>
              <w:keepLines w:val="0"/>
              <w:pageBreakBefore w:val="0"/>
              <w:kinsoku/>
              <w:wordWrap/>
              <w:overflowPunct/>
              <w:topLinePunct w:val="0"/>
              <w:autoSpaceDE/>
              <w:autoSpaceDN/>
              <w:bidi w:val="0"/>
              <w:adjustRightInd/>
              <w:snapToGrid/>
              <w:spacing w:line="400" w:lineRule="exact"/>
              <w:ind w:left="0" w:firstLine="0"/>
              <w:jc w:val="center"/>
              <w:rPr>
                <w:rFonts w:hint="eastAsia" w:ascii="宋体" w:hAnsi="宋体" w:eastAsia="宋体" w:cs="宋体"/>
                <w:color w:val="auto"/>
                <w:sz w:val="21"/>
                <w:szCs w:val="21"/>
              </w:rPr>
            </w:pPr>
          </w:p>
        </w:tc>
        <w:tc>
          <w:tcPr>
            <w:tcW w:w="0" w:type="auto"/>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0" w:type="auto"/>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color w:val="000000"/>
                <w:sz w:val="24"/>
                <w:szCs w:val="24"/>
                <w:lang w:val="en-US" w:eastAsia="zh-CN"/>
              </w:rPr>
            </w:pPr>
            <w:r>
              <w:rPr>
                <w:rFonts w:hint="eastAsia" w:ascii="Segoe UI" w:hAnsi="Segoe UI" w:eastAsia="宋体" w:cs="Segoe UI"/>
                <w:i w:val="0"/>
                <w:iCs w:val="0"/>
                <w:caps w:val="0"/>
                <w:spacing w:val="0"/>
                <w:sz w:val="24"/>
                <w:szCs w:val="24"/>
                <w:shd w:val="clear" w:fill="FFFFFF"/>
                <w:lang w:val="en-US" w:eastAsia="zh-CN"/>
              </w:rPr>
              <w:t>①</w:t>
            </w:r>
            <w:r>
              <w:rPr>
                <w:rFonts w:ascii="Segoe UI" w:hAnsi="Segoe UI" w:eastAsia="Segoe UI" w:cs="Segoe UI"/>
                <w:i w:val="0"/>
                <w:iCs w:val="0"/>
                <w:caps w:val="0"/>
                <w:spacing w:val="0"/>
                <w:sz w:val="24"/>
                <w:szCs w:val="24"/>
                <w:shd w:val="clear" w:fill="FFFFFF"/>
              </w:rPr>
              <w:t>面采集单元应包含前面板、面框、下颌托与唾液接盘，上述组件须支持独立拆卸及更换；</w:t>
            </w:r>
            <w:r>
              <w:rPr>
                <w:rFonts w:hint="eastAsia" w:ascii="Segoe UI" w:hAnsi="Segoe UI" w:eastAsia="宋体" w:cs="Segoe UI"/>
                <w:i w:val="0"/>
                <w:iCs w:val="0"/>
                <w:caps w:val="0"/>
                <w:spacing w:val="0"/>
                <w:sz w:val="24"/>
                <w:szCs w:val="24"/>
                <w:shd w:val="clear" w:fill="FFFFFF"/>
                <w:lang w:val="en-US" w:eastAsia="zh-CN"/>
              </w:rPr>
              <w:t>②</w:t>
            </w:r>
            <w:r>
              <w:rPr>
                <w:rFonts w:hint="eastAsia" w:ascii="宋体" w:hAnsi="宋体" w:eastAsia="宋体" w:cs="宋体"/>
                <w:color w:val="000000"/>
                <w:kern w:val="2"/>
                <w:sz w:val="21"/>
                <w:szCs w:val="21"/>
                <w:lang w:val="en-US" w:eastAsia="zh-CN" w:bidi="ar-SA"/>
              </w:rPr>
              <w:t>脉搏采集组件与腕部固定架（脉搏定位组件）应能方便连接与脱卸。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0" w:type="auto"/>
            <w:gridSpan w:val="2"/>
            <w:vMerge w:val="restart"/>
            <w:noWrap w:val="0"/>
            <w:vAlign w:val="center"/>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软件部分：需包括但不限于</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ind w:leftChars="0"/>
              <w:jc w:val="both"/>
              <w:rPr>
                <w:rStyle w:val="53"/>
                <w:rFonts w:hint="eastAsia" w:ascii="宋体" w:hAnsi="宋体" w:eastAsia="宋体" w:cs="宋体"/>
                <w:color w:val="auto"/>
                <w:sz w:val="24"/>
                <w:szCs w:val="24"/>
                <w:lang w:val="en-US" w:eastAsia="zh-CN" w:bidi="ar"/>
              </w:rPr>
            </w:pPr>
            <w:r>
              <w:rPr>
                <w:rFonts w:hint="eastAsia" w:ascii="宋体" w:hAnsi="宋体" w:eastAsia="宋体" w:cs="宋体"/>
                <w:color w:val="000000"/>
                <w:sz w:val="24"/>
                <w:szCs w:val="24"/>
                <w:lang w:val="en-US" w:eastAsia="zh-CN"/>
              </w:rPr>
              <w:t>▲</w:t>
            </w:r>
            <w:r>
              <w:rPr>
                <w:rStyle w:val="53"/>
                <w:rFonts w:hint="eastAsia" w:ascii="宋体" w:hAnsi="宋体" w:eastAsia="宋体" w:cs="宋体"/>
                <w:color w:val="auto"/>
                <w:sz w:val="24"/>
                <w:szCs w:val="24"/>
                <w:lang w:val="en-US" w:eastAsia="zh-CN" w:bidi="ar"/>
              </w:rPr>
              <w:t>1.中医望闻问切四诊信息采集分析与综合诊断体质辨识系统；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0"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ind w:leftChars="0"/>
              <w:jc w:val="both"/>
              <w:rPr>
                <w:rFonts w:hint="eastAsia" w:ascii="宋体" w:hAnsi="宋体" w:eastAsia="宋体"/>
                <w:sz w:val="24"/>
                <w:szCs w:val="32"/>
              </w:rPr>
            </w:pPr>
            <w:r>
              <w:rPr>
                <w:rFonts w:hint="eastAsia" w:ascii="宋体" w:hAnsi="宋体" w:eastAsia="宋体" w:cs="宋体"/>
                <w:color w:val="000000"/>
                <w:sz w:val="24"/>
                <w:szCs w:val="24"/>
                <w:lang w:val="en-US" w:eastAsia="zh-CN"/>
              </w:rPr>
              <w:t>▲</w:t>
            </w:r>
            <w:r>
              <w:rPr>
                <w:rFonts w:hint="eastAsia" w:ascii="宋体" w:hAnsi="宋体" w:eastAsia="宋体"/>
                <w:sz w:val="24"/>
                <w:szCs w:val="32"/>
              </w:rPr>
              <w:t>2.中医体质辨识与养生方案指导系统；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70"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sz w:val="24"/>
                <w:szCs w:val="32"/>
              </w:rPr>
            </w:pPr>
            <w:r>
              <w:rPr>
                <w:rFonts w:hint="eastAsia" w:ascii="宋体" w:hAnsi="宋体" w:eastAsia="宋体" w:cs="宋体"/>
                <w:color w:val="000000"/>
                <w:sz w:val="24"/>
                <w:szCs w:val="24"/>
                <w:lang w:val="en-US" w:eastAsia="zh-CN"/>
              </w:rPr>
              <w:t>▲</w:t>
            </w:r>
            <w:r>
              <w:rPr>
                <w:rFonts w:hint="eastAsia" w:ascii="宋体" w:hAnsi="宋体" w:eastAsia="宋体"/>
                <w:sz w:val="24"/>
                <w:szCs w:val="32"/>
              </w:rPr>
              <w:t>3.中医治未病大数据挖掘与健康管理系统；</w:t>
            </w:r>
          </w:p>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sz w:val="24"/>
                <w:szCs w:val="32"/>
                <w:lang w:eastAsia="zh-CN"/>
              </w:rPr>
            </w:pPr>
            <w:r>
              <w:rPr>
                <w:rFonts w:hint="eastAsia" w:ascii="宋体" w:hAnsi="宋体" w:eastAsia="宋体"/>
                <w:sz w:val="24"/>
                <w:szCs w:val="32"/>
                <w:lang w:val="en-US" w:eastAsia="zh-CN"/>
              </w:rPr>
              <w:t>3.</w:t>
            </w:r>
            <w:r>
              <w:rPr>
                <w:rFonts w:hint="eastAsia" w:ascii="宋体" w:hAnsi="宋体" w:eastAsia="宋体"/>
                <w:sz w:val="24"/>
                <w:szCs w:val="32"/>
                <w:lang w:eastAsia="zh-CN"/>
              </w:rPr>
              <w:t>1、具有心肝脾肺肾等脏腑评估报告；</w:t>
            </w:r>
          </w:p>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sz w:val="24"/>
                <w:szCs w:val="32"/>
                <w:lang w:eastAsia="zh-CN"/>
              </w:rPr>
            </w:pPr>
            <w:r>
              <w:rPr>
                <w:rFonts w:hint="eastAsia" w:ascii="宋体" w:hAnsi="宋体" w:eastAsia="宋体"/>
                <w:sz w:val="24"/>
                <w:szCs w:val="32"/>
                <w:lang w:val="en-US" w:eastAsia="zh-CN"/>
              </w:rPr>
              <w:t>3.</w:t>
            </w:r>
            <w:r>
              <w:rPr>
                <w:rFonts w:hint="eastAsia" w:ascii="宋体" w:hAnsi="宋体" w:eastAsia="宋体"/>
                <w:sz w:val="24"/>
                <w:szCs w:val="32"/>
                <w:lang w:eastAsia="zh-CN"/>
              </w:rPr>
              <w:t>2、具有心血管功能、骨质疏松症、乳腺结节、脂肪肝、肺结节、精神压力、中风等风险评估。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8"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ind w:leftChars="0"/>
              <w:jc w:val="both"/>
              <w:rPr>
                <w:rFonts w:hint="eastAsia" w:ascii="宋体" w:hAnsi="宋体" w:eastAsia="宋体"/>
                <w:sz w:val="24"/>
                <w:szCs w:val="32"/>
              </w:rPr>
            </w:pPr>
            <w:r>
              <w:rPr>
                <w:rFonts w:hint="eastAsia" w:ascii="宋体" w:hAnsi="宋体" w:eastAsia="宋体" w:cs="宋体"/>
                <w:color w:val="000000"/>
                <w:sz w:val="24"/>
                <w:szCs w:val="24"/>
                <w:lang w:val="en-US" w:eastAsia="zh-CN"/>
              </w:rPr>
              <w:t>▲</w:t>
            </w:r>
            <w:r>
              <w:rPr>
                <w:rFonts w:hint="eastAsia" w:ascii="宋体" w:hAnsi="宋体" w:eastAsia="宋体"/>
                <w:sz w:val="24"/>
                <w:szCs w:val="32"/>
              </w:rPr>
              <w:t>4.中医医用经典处方系统；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ind w:leftChars="0"/>
              <w:jc w:val="both"/>
              <w:rPr>
                <w:rFonts w:hint="eastAsia" w:ascii="宋体" w:hAnsi="宋体" w:eastAsia="宋体"/>
                <w:sz w:val="24"/>
                <w:szCs w:val="32"/>
              </w:rPr>
            </w:pPr>
            <w:r>
              <w:rPr>
                <w:rFonts w:hint="eastAsia" w:ascii="宋体" w:hAnsi="宋体" w:eastAsia="宋体"/>
                <w:sz w:val="24"/>
                <w:szCs w:val="32"/>
              </w:rPr>
              <w:t>5.孕产妇中医体质辨识健康管理系统；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450"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ind w:leftChars="0"/>
              <w:jc w:val="both"/>
              <w:rPr>
                <w:rFonts w:hint="eastAsia" w:ascii="宋体" w:hAnsi="宋体" w:eastAsia="宋体"/>
                <w:sz w:val="24"/>
                <w:szCs w:val="32"/>
              </w:rPr>
            </w:pPr>
            <w:r>
              <w:rPr>
                <w:rFonts w:hint="eastAsia" w:ascii="宋体" w:hAnsi="宋体" w:eastAsia="宋体"/>
                <w:sz w:val="24"/>
                <w:szCs w:val="32"/>
              </w:rPr>
              <w:t>6.儿童中医体质辨识健康管理系统；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7"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ind w:leftChars="0"/>
              <w:jc w:val="both"/>
              <w:rPr>
                <w:rFonts w:hint="default" w:ascii="宋体" w:hAnsi="宋体" w:eastAsia="宋体"/>
                <w:sz w:val="24"/>
                <w:szCs w:val="32"/>
                <w:lang w:val="en-US" w:eastAsia="zh-CN"/>
              </w:rPr>
            </w:pPr>
            <w:r>
              <w:rPr>
                <w:rFonts w:hint="eastAsia" w:ascii="宋体" w:hAnsi="宋体" w:eastAsia="宋体" w:cs="宋体"/>
                <w:color w:val="000000"/>
                <w:sz w:val="24"/>
                <w:szCs w:val="24"/>
                <w:lang w:val="en-US" w:eastAsia="zh-CN"/>
              </w:rPr>
              <w:t>▲</w:t>
            </w:r>
            <w:r>
              <w:rPr>
                <w:rFonts w:hint="eastAsia" w:ascii="宋体" w:hAnsi="宋体" w:eastAsia="宋体"/>
                <w:sz w:val="24"/>
                <w:szCs w:val="32"/>
                <w:lang w:val="en-US" w:eastAsia="zh-CN"/>
              </w:rPr>
              <w:t>7.老年人中医体质辨识健康管理系统；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9"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sz w:val="24"/>
                <w:szCs w:val="32"/>
                <w:lang w:val="en-US" w:eastAsia="zh-CN"/>
              </w:rPr>
            </w:pPr>
            <w:r>
              <w:rPr>
                <w:rFonts w:hint="eastAsia" w:ascii="宋体" w:hAnsi="宋体" w:eastAsia="宋体" w:cs="宋体"/>
                <w:color w:val="000000"/>
                <w:sz w:val="24"/>
                <w:szCs w:val="24"/>
                <w:lang w:val="en-US" w:eastAsia="zh-CN"/>
              </w:rPr>
              <w:t>▲</w:t>
            </w:r>
            <w:r>
              <w:rPr>
                <w:rFonts w:hint="eastAsia" w:ascii="宋体" w:hAnsi="宋体" w:eastAsia="宋体"/>
                <w:sz w:val="24"/>
                <w:szCs w:val="32"/>
                <w:lang w:val="en-US" w:eastAsia="zh-CN"/>
              </w:rPr>
              <w:t>8、</w:t>
            </w:r>
            <w:r>
              <w:rPr>
                <w:rFonts w:hint="eastAsia" w:ascii="宋体" w:hAnsi="宋体" w:eastAsia="宋体"/>
                <w:sz w:val="24"/>
                <w:szCs w:val="32"/>
              </w:rPr>
              <w:t>慢性病（高血压，高血糖，高血脂，高尿酸）</w:t>
            </w:r>
            <w:r>
              <w:rPr>
                <w:rFonts w:hint="eastAsia" w:ascii="宋体" w:hAnsi="宋体" w:eastAsia="宋体"/>
                <w:sz w:val="24"/>
                <w:szCs w:val="32"/>
                <w:lang w:eastAsia="zh-CN"/>
              </w:rPr>
              <w:t>等</w:t>
            </w:r>
            <w:r>
              <w:rPr>
                <w:rFonts w:hint="eastAsia" w:ascii="宋体" w:hAnsi="宋体" w:eastAsia="宋体"/>
                <w:sz w:val="24"/>
                <w:szCs w:val="32"/>
              </w:rPr>
              <w:t>中医药健康管理系统</w:t>
            </w:r>
            <w:r>
              <w:rPr>
                <w:rFonts w:hint="eastAsia" w:ascii="宋体" w:hAnsi="宋体" w:eastAsia="宋体"/>
                <w:sz w:val="24"/>
                <w:szCs w:val="32"/>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92" w:hRule="atLeast"/>
          <w:jc w:val="center"/>
        </w:trPr>
        <w:tc>
          <w:tcPr>
            <w:tcW w:w="0" w:type="auto"/>
            <w:gridSpan w:val="2"/>
            <w:vMerge w:val="continue"/>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Chars="0"/>
              <w:jc w:val="center"/>
              <w:rPr>
                <w:rFonts w:hint="default" w:ascii="宋体" w:hAnsi="宋体" w:eastAsia="宋体" w:cs="宋体"/>
                <w:color w:val="auto"/>
                <w:sz w:val="24"/>
                <w:szCs w:val="24"/>
                <w:lang w:val="en-US" w:eastAsia="zh-CN"/>
              </w:rPr>
            </w:pPr>
          </w:p>
        </w:tc>
        <w:tc>
          <w:tcPr>
            <w:tcW w:w="0" w:type="auto"/>
            <w:tcBorders>
              <w:top w:val="single" w:color="auto" w:sz="4" w:space="0"/>
              <w:bottom w:val="single" w:color="auto" w:sz="4" w:space="0"/>
            </w:tcBorders>
            <w:noWrap w:val="0"/>
            <w:vAlign w:val="top"/>
          </w:tcPr>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sz w:val="24"/>
                <w:szCs w:val="32"/>
                <w:lang w:val="en-US" w:eastAsia="zh-CN"/>
              </w:rPr>
            </w:pPr>
            <w:r>
              <w:rPr>
                <w:rFonts w:hint="eastAsia" w:ascii="宋体" w:hAnsi="宋体" w:eastAsia="宋体" w:cs="宋体"/>
                <w:color w:val="000000"/>
                <w:sz w:val="24"/>
                <w:szCs w:val="24"/>
                <w:lang w:val="en-US" w:eastAsia="zh-CN"/>
              </w:rPr>
              <w:t>▲9、</w:t>
            </w:r>
            <w:r>
              <w:rPr>
                <w:rFonts w:hint="eastAsia" w:ascii="宋体" w:hAnsi="宋体" w:eastAsia="宋体"/>
                <w:sz w:val="24"/>
                <w:szCs w:val="32"/>
                <w:lang w:val="en-US" w:eastAsia="zh-CN"/>
              </w:rPr>
              <w:t>具中医AI大模型，为临床应用提供可靠的技术支撑。</w:t>
            </w:r>
          </w:p>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sz w:val="24"/>
                <w:szCs w:val="32"/>
                <w:lang w:val="en-US" w:eastAsia="zh-CN"/>
              </w:rPr>
            </w:pPr>
            <w:r>
              <w:rPr>
                <w:rFonts w:hint="eastAsia" w:ascii="宋体" w:hAnsi="宋体" w:eastAsia="宋体"/>
                <w:sz w:val="24"/>
                <w:szCs w:val="32"/>
                <w:lang w:val="en-US" w:eastAsia="zh-CN"/>
              </w:rPr>
              <w:t>9.1、五维辨证体系，深度智能分析：辅助诊断功能覆盖六经辨证、八纲辨证、温病辨证、脏腑辨证、病性辨证五种经典中医辨证体系，通过AI深度学习算法对患者症状进行多维度交叉分析，确保辨证的全面性与精准性。</w:t>
            </w:r>
          </w:p>
          <w:p>
            <w:pPr>
              <w:keepLines w:val="0"/>
              <w:pageBreakBefore w:val="0"/>
              <w:numPr>
                <w:ilvl w:val="0"/>
                <w:numId w:val="0"/>
              </w:numPr>
              <w:kinsoku/>
              <w:wordWrap/>
              <w:overflowPunct/>
              <w:topLinePunct w:val="0"/>
              <w:autoSpaceDE/>
              <w:autoSpaceDN/>
              <w:bidi w:val="0"/>
              <w:spacing w:line="400" w:lineRule="exact"/>
              <w:jc w:val="left"/>
              <w:rPr>
                <w:rFonts w:hint="eastAsia" w:ascii="宋体" w:hAnsi="宋体" w:eastAsia="宋体" w:cs="宋体"/>
                <w:color w:val="000000"/>
                <w:sz w:val="24"/>
                <w:szCs w:val="24"/>
                <w:lang w:val="en-US" w:eastAsia="zh-CN"/>
              </w:rPr>
            </w:pPr>
            <w:r>
              <w:rPr>
                <w:rFonts w:hint="eastAsia" w:ascii="宋体" w:hAnsi="宋体" w:eastAsia="宋体"/>
                <w:sz w:val="24"/>
                <w:szCs w:val="32"/>
                <w:lang w:val="en-US" w:eastAsia="zh-CN"/>
              </w:rPr>
              <w:t>9.2、全面输出诊疗方案：系统同步输出辨病结论、辨证结果及针对性治疗思路，涵盖病因病机分析、治则治法建议等核心内容，为临床医生提供全面、专业、可落地的诊疗参考依据。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3"/>
            <w:noWrap w:val="0"/>
            <w:vAlign w:val="top"/>
          </w:tcPr>
          <w:p>
            <w:pPr>
              <w:keepNext w:val="0"/>
              <w:keepLines w:val="0"/>
              <w:pageBreakBefore w:val="0"/>
              <w:kinsoku/>
              <w:wordWrap/>
              <w:overflowPunct/>
              <w:topLinePunct w:val="0"/>
              <w:autoSpaceDE/>
              <w:autoSpaceDN/>
              <w:bidi w:val="0"/>
              <w:adjustRightInd/>
              <w:snapToGrid/>
              <w:spacing w:line="400" w:lineRule="exact"/>
              <w:ind w:left="0" w:firstLine="0"/>
              <w:jc w:val="left"/>
              <w:rPr>
                <w:rFonts w:hint="default"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采购数量：一套。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3"/>
            <w:noWrap w:val="0"/>
            <w:vAlign w:val="top"/>
          </w:tcPr>
          <w:p>
            <w:pPr>
              <w:keepNext w:val="0"/>
              <w:keepLines w:val="0"/>
              <w:pageBreakBefore w:val="0"/>
              <w:kinsoku/>
              <w:wordWrap/>
              <w:overflowPunct/>
              <w:topLinePunct w:val="0"/>
              <w:autoSpaceDE/>
              <w:autoSpaceDN/>
              <w:bidi w:val="0"/>
              <w:adjustRightInd/>
              <w:snapToGrid/>
              <w:spacing w:line="400" w:lineRule="exact"/>
              <w:ind w:left="0" w:firstLine="0"/>
              <w:jc w:val="left"/>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商务要求及售后服务：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3"/>
            <w:noWrap w:val="0"/>
            <w:vAlign w:val="top"/>
          </w:tcPr>
          <w:p>
            <w:pPr>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商务要求</w:t>
            </w:r>
          </w:p>
          <w:p>
            <w:pPr>
              <w:keepLines w:val="0"/>
              <w:pageBreakBefore w:val="0"/>
              <w:widowControl/>
              <w:numPr>
                <w:ilvl w:val="0"/>
                <w:numId w:val="0"/>
              </w:numPr>
              <w:kinsoku/>
              <w:wordWrap/>
              <w:overflowPunct/>
              <w:topLinePunct w:val="0"/>
              <w:autoSpaceDE/>
              <w:autoSpaceDN/>
              <w:bidi w:val="0"/>
              <w:spacing w:line="400" w:lineRule="exact"/>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 xml:space="preserve">    （一）交货期限及地点:(1)交货期:自签订合同之日起30个工作日内交货并安装调试合格交付使用。</w:t>
            </w:r>
          </w:p>
          <w:p>
            <w:pPr>
              <w:keepLines w:val="0"/>
              <w:pageBreakBefore w:val="0"/>
              <w:widowControl/>
              <w:numPr>
                <w:ilvl w:val="0"/>
                <w:numId w:val="0"/>
              </w:numPr>
              <w:kinsoku/>
              <w:wordWrap/>
              <w:overflowPunct/>
              <w:topLinePunct w:val="0"/>
              <w:autoSpaceDE/>
              <w:autoSpaceDN/>
              <w:bidi w:val="0"/>
              <w:spacing w:line="400" w:lineRule="exact"/>
              <w:ind w:firstLine="480" w:firstLineChars="200"/>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(2)交货地点:隆林各族自治县中医医院。</w:t>
            </w:r>
          </w:p>
          <w:p>
            <w:pPr>
              <w:keepLines w:val="0"/>
              <w:pageBreakBefore w:val="0"/>
              <w:kinsoku/>
              <w:wordWrap/>
              <w:overflowPunct/>
              <w:topLinePunct w:val="0"/>
              <w:autoSpaceDE/>
              <w:autoSpaceDN/>
              <w:bidi w:val="0"/>
              <w:spacing w:after="0" w:line="400" w:lineRule="exact"/>
              <w:ind w:firstLine="480" w:firstLineChars="200"/>
              <w:jc w:val="both"/>
              <w:textAlignment w:val="baseline"/>
              <w:rPr>
                <w:rStyle w:val="46"/>
                <w:rFonts w:hint="eastAsia" w:ascii="宋体" w:hAnsi="宋体" w:eastAsia="宋体" w:cs="宋体"/>
                <w:b/>
                <w:bCs/>
                <w:color w:val="auto"/>
                <w:szCs w:val="21"/>
                <w:highlight w:val="none"/>
              </w:rPr>
            </w:pPr>
            <w:r>
              <w:rPr>
                <w:rFonts w:hint="eastAsia" w:ascii="宋体" w:hAnsi="宋体" w:eastAsia="宋体" w:cs="Arial"/>
                <w:bCs/>
                <w:color w:val="000000"/>
                <w:sz w:val="24"/>
                <w:szCs w:val="24"/>
                <w:highlight w:val="none"/>
                <w:lang w:val="en-US" w:eastAsia="zh-CN"/>
              </w:rPr>
              <w:t>（二）付款方式:付款方式：（1）支付形式：采用银行转账方式，采购人（或相关付款责任方）将款项直接汇入成交供应商指定的合法有效银行账户（成交供应商需提前提供账户信息并确保真实性、有效性）。（2）付款计划：因本项目资金由财政局统一拨付（资金来源为2025年中央补助广西医疗服务与保障能力提升专项资金），专项资金下拨后一次性拨付全部款项。</w:t>
            </w:r>
          </w:p>
          <w:p>
            <w:pPr>
              <w:keepLines w:val="0"/>
              <w:pageBreakBefore w:val="0"/>
              <w:widowControl/>
              <w:numPr>
                <w:ilvl w:val="0"/>
                <w:numId w:val="0"/>
              </w:numPr>
              <w:kinsoku/>
              <w:wordWrap/>
              <w:overflowPunct/>
              <w:topLinePunct w:val="0"/>
              <w:autoSpaceDE/>
              <w:autoSpaceDN/>
              <w:bidi w:val="0"/>
              <w:spacing w:line="400" w:lineRule="exact"/>
              <w:ind w:firstLine="480" w:firstLineChars="200"/>
              <w:textAlignment w:val="baseline"/>
              <w:rPr>
                <w:rFonts w:hint="eastAsia" w:ascii="宋体" w:hAnsi="宋体" w:eastAsia="宋体" w:cs="Arial"/>
                <w:bCs/>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（三）验收标准 1.投标人提供的产品必须符合国家、行业强制执行的相关质量标准要求以及产品制造厂家合格产品的出厂质量标准，2.设备需全新、完好、无破损，产品到货后，采购人现场根据招标文件要求及投标文件承诺逐条对应进行核验，必要时，采购人有权邀请国家质量监督检验部门或国家认可的检测机构参与共同验收。如产品不满足招标文件要求、中标人投标承诺或国家、行业强制执行验收标准的相关质量标准要求以及产品制造厂家合格产品的出厂质量标准，采购人有权终止合同执行并全部退货，由此造成采购人的经济损失由中标人承担全部赔偿责任。3.在交付设备时，中标人必须提供货物的相关资料（如：操作手册、使用指南、维修手册、安装调试说明书、服务手册等）及随车的工具器材，否则不予验收。</w:t>
            </w:r>
          </w:p>
          <w:p>
            <w:pPr>
              <w:keepLines w:val="0"/>
              <w:pageBreakBefore w:val="0"/>
              <w:widowControl/>
              <w:kinsoku/>
              <w:wordWrap/>
              <w:overflowPunct/>
              <w:topLinePunct w:val="0"/>
              <w:autoSpaceDE/>
              <w:autoSpaceDN/>
              <w:bidi w:val="0"/>
              <w:spacing w:line="400" w:lineRule="exact"/>
              <w:textAlignment w:val="baseline"/>
              <w:rPr>
                <w:rFonts w:hint="eastAsia" w:ascii="宋体" w:hAnsi="宋体" w:eastAsia="宋体" w:cs="Arial"/>
                <w:b/>
                <w:bCs w:val="0"/>
                <w:color w:val="000000"/>
                <w:sz w:val="24"/>
                <w:szCs w:val="24"/>
                <w:highlight w:val="none"/>
                <w:lang w:val="en-US" w:eastAsia="zh-CN"/>
              </w:rPr>
            </w:pPr>
            <w:r>
              <w:rPr>
                <w:rFonts w:hint="eastAsia" w:ascii="宋体" w:hAnsi="宋体" w:eastAsia="宋体" w:cs="Arial"/>
                <w:b/>
                <w:bCs w:val="0"/>
                <w:color w:val="000000"/>
                <w:sz w:val="24"/>
                <w:szCs w:val="24"/>
                <w:highlight w:val="none"/>
                <w:lang w:val="en-US" w:eastAsia="zh-CN"/>
              </w:rPr>
              <w:t>售后服务</w:t>
            </w:r>
          </w:p>
          <w:p>
            <w:pPr>
              <w:keepNext w:val="0"/>
              <w:keepLines w:val="0"/>
              <w:pageBreakBefore w:val="0"/>
              <w:kinsoku/>
              <w:wordWrap/>
              <w:overflowPunct/>
              <w:topLinePunct w:val="0"/>
              <w:autoSpaceDE/>
              <w:autoSpaceDN/>
              <w:bidi w:val="0"/>
              <w:adjustRightInd/>
              <w:snapToGrid/>
              <w:spacing w:line="400" w:lineRule="exact"/>
              <w:ind w:left="0" w:firstLine="0"/>
              <w:jc w:val="left"/>
              <w:rPr>
                <w:rFonts w:hint="eastAsia" w:ascii="宋体" w:hAnsi="宋体" w:eastAsia="宋体" w:cs="Arial"/>
                <w:b/>
                <w:bCs w:val="0"/>
                <w:color w:val="000000"/>
                <w:sz w:val="24"/>
                <w:szCs w:val="24"/>
                <w:highlight w:val="none"/>
                <w:lang w:val="en-US" w:eastAsia="zh-CN"/>
              </w:rPr>
            </w:pPr>
            <w:r>
              <w:rPr>
                <w:rFonts w:hint="eastAsia" w:ascii="宋体" w:hAnsi="宋体" w:eastAsia="宋体" w:cs="Arial"/>
                <w:bCs/>
                <w:color w:val="000000"/>
                <w:sz w:val="24"/>
                <w:szCs w:val="24"/>
                <w:highlight w:val="none"/>
                <w:lang w:val="en-US" w:eastAsia="zh-CN"/>
              </w:rPr>
              <w:t>1、按照国家有关产品“三包"规定执行"三包"，设备质保≥3年。2、采购范围内的货物送货上门，装卸、安装调试合格，提供使用培训，直至采购人技术人员可熟练操作使用。3、在使用过程中若产品发生质量问题或故障，接到采购人报修通知后，立即响应并在0.5小时内采取相应措在收到采购人要求服务通知6小时内服务人员到达现场，对设备出现的较大问题，解决时间不超过3工作日。 4、免费保修期内免材料费及维修费,免费保修期外中标人须继续提供免费电话咨询服务，并以优惠的价格提有偿服务，终身维修。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0" w:type="auto"/>
            <w:gridSpan w:val="3"/>
            <w:noWrap w:val="0"/>
            <w:vAlign w:val="top"/>
          </w:tcPr>
          <w:p>
            <w:pPr>
              <w:keepNext w:val="0"/>
              <w:keepLines w:val="0"/>
              <w:pageBreakBefore w:val="0"/>
              <w:kinsoku/>
              <w:wordWrap/>
              <w:overflowPunct/>
              <w:topLinePunct w:val="0"/>
              <w:autoSpaceDE/>
              <w:autoSpaceDN/>
              <w:bidi w:val="0"/>
              <w:adjustRightInd/>
              <w:snapToGrid/>
              <w:spacing w:line="400" w:lineRule="exact"/>
              <w:ind w:left="0" w:firstLine="0"/>
              <w:jc w:val="left"/>
              <w:rPr>
                <w:rFonts w:hint="eastAsia" w:ascii="宋体" w:hAnsi="宋体" w:eastAsia="宋体" w:cs="Arial"/>
                <w:bCs/>
                <w:color w:val="000000"/>
                <w:sz w:val="24"/>
                <w:szCs w:val="24"/>
                <w:highlight w:val="none"/>
                <w:lang w:val="en-US" w:eastAsia="zh-CN"/>
              </w:rPr>
            </w:pPr>
            <w:r>
              <w:rPr>
                <w:rFonts w:hint="eastAsia" w:ascii="宋体" w:hAnsi="宋体" w:eastAsia="宋体" w:cs="宋体"/>
                <w:b/>
                <w:bCs/>
                <w:color w:val="000000"/>
                <w:sz w:val="21"/>
                <w:szCs w:val="21"/>
                <w:highlight w:val="none"/>
              </w:rPr>
              <w:t>其它：</w:t>
            </w:r>
            <w:r>
              <w:rPr>
                <w:rFonts w:hint="eastAsia" w:ascii="宋体" w:hAnsi="宋体" w:eastAsia="宋体" w:cs="宋体"/>
                <w:b w:val="0"/>
                <w:bCs w:val="0"/>
                <w:color w:val="000000"/>
                <w:sz w:val="21"/>
                <w:szCs w:val="21"/>
                <w:highlight w:val="none"/>
              </w:rPr>
              <w:t>标注“▲”的技术参数为重要技术条款，必须满足，否则视为竞标无效</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未打“</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”项大于三项为负偏离的，亦视为</w:t>
            </w:r>
            <w:r>
              <w:rPr>
                <w:rFonts w:hint="eastAsia" w:ascii="宋体" w:hAnsi="宋体" w:eastAsia="宋体" w:cs="宋体"/>
                <w:b w:val="0"/>
                <w:bCs w:val="0"/>
                <w:color w:val="000000"/>
                <w:sz w:val="21"/>
                <w:szCs w:val="21"/>
                <w:highlight w:val="none"/>
                <w:lang w:eastAsia="zh-CN"/>
              </w:rPr>
              <w:t>竞标无效。</w:t>
            </w:r>
          </w:p>
        </w:tc>
      </w:tr>
    </w:tbl>
    <w:p>
      <w:pPr>
        <w:keepNext/>
        <w:keepLines w:val="0"/>
        <w:pageBreakBefore w:val="0"/>
        <w:tabs>
          <w:tab w:val="left" w:pos="426"/>
        </w:tabs>
        <w:kinsoku/>
        <w:wordWrap/>
        <w:overflowPunct/>
        <w:topLinePunct w:val="0"/>
        <w:autoSpaceDE/>
        <w:autoSpaceDN/>
        <w:bidi w:val="0"/>
        <w:spacing w:line="400" w:lineRule="exact"/>
        <w:jc w:val="both"/>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widowControl w:val="0"/>
        <w:tabs>
          <w:tab w:val="left" w:pos="4048"/>
        </w:tabs>
        <w:adjustRightInd/>
        <w:snapToGrid/>
        <w:spacing w:after="0" w:line="480" w:lineRule="auto"/>
        <w:ind w:firstLine="432" w:firstLineChars="200"/>
        <w:jc w:val="both"/>
        <w:rPr>
          <w:rFonts w:hint="eastAsia" w:ascii="Times New Roman" w:hAnsi="Times New Roman" w:eastAsia="宋体"/>
          <w:color w:val="auto"/>
          <w:spacing w:val="8"/>
          <w:sz w:val="20"/>
          <w:szCs w:val="21"/>
          <w:highlight w:val="none"/>
          <w:lang w:eastAsia="zh-CN"/>
        </w:rPr>
      </w:pPr>
    </w:p>
    <w:p>
      <w:pPr>
        <w:keepNext/>
        <w:tabs>
          <w:tab w:val="left" w:pos="426"/>
        </w:tabs>
        <w:spacing w:line="360" w:lineRule="auto"/>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第四章  合同协议书</w:t>
      </w:r>
    </w:p>
    <w:p>
      <w:pPr>
        <w:autoSpaceDE w:val="0"/>
        <w:autoSpaceDN w:val="0"/>
        <w:spacing w:line="200" w:lineRule="exact"/>
        <w:rPr>
          <w:rFonts w:ascii="宋体" w:hAnsi="宋体" w:eastAsia="宋体" w:cs="宋体"/>
          <w:color w:val="auto"/>
          <w:sz w:val="28"/>
          <w:highlight w:val="none"/>
        </w:rPr>
      </w:pPr>
    </w:p>
    <w:p>
      <w:pPr>
        <w:spacing w:line="280" w:lineRule="exact"/>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合同协议书（格式）</w:t>
      </w:r>
    </w:p>
    <w:p>
      <w:pPr>
        <w:wordWrap w:val="0"/>
        <w:adjustRightInd/>
        <w:spacing w:line="360" w:lineRule="auto"/>
        <w:ind w:right="332"/>
        <w:jc w:val="both"/>
        <w:rPr>
          <w:rFonts w:ascii="宋体" w:hAnsi="宋体" w:eastAsia="宋体" w:cs="宋体"/>
          <w:bCs/>
          <w:color w:val="auto"/>
          <w:sz w:val="24"/>
          <w:szCs w:val="24"/>
          <w:highlight w:val="none"/>
          <w:u w:val="single"/>
        </w:rPr>
      </w:pPr>
      <w:r>
        <w:rPr>
          <w:rFonts w:hint="eastAsia" w:ascii="宋体" w:hAnsi="宋体" w:eastAsia="宋体" w:cs="宋体"/>
          <w:bCs/>
          <w:color w:val="auto"/>
          <w:szCs w:val="21"/>
          <w:highlight w:val="none"/>
        </w:rPr>
        <w:t xml:space="preserve"> </w:t>
      </w:r>
      <w:r>
        <w:rPr>
          <w:rFonts w:hint="eastAsia" w:ascii="宋体" w:hAnsi="宋体" w:eastAsia="宋体" w:cs="宋体"/>
          <w:bCs/>
          <w:color w:val="auto"/>
          <w:sz w:val="24"/>
          <w:szCs w:val="24"/>
          <w:highlight w:val="none"/>
        </w:rPr>
        <w:t xml:space="preserve">                                             </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项目名称</w:t>
      </w:r>
      <w:r>
        <w:rPr>
          <w:rStyle w:val="46"/>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项目编号</w:t>
      </w:r>
      <w:r>
        <w:rPr>
          <w:rStyle w:val="46"/>
          <w:rFonts w:hint="eastAsia" w:ascii="宋体" w:hAnsi="宋体" w:eastAsia="宋体" w:cs="宋体"/>
          <w:color w:val="auto"/>
          <w:spacing w:val="-20"/>
          <w:szCs w:val="21"/>
          <w:highlight w:val="none"/>
        </w:rPr>
        <w:t>：</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采购单位（甲方）：</w:t>
      </w:r>
      <w:r>
        <w:rPr>
          <w:rStyle w:val="46"/>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供 应 商（乙方）：</w:t>
      </w:r>
      <w:r>
        <w:rPr>
          <w:rStyle w:val="46"/>
          <w:rFonts w:hint="eastAsia" w:ascii="宋体" w:hAnsi="宋体" w:eastAsia="宋体" w:cs="宋体"/>
          <w:color w:val="auto"/>
          <w:szCs w:val="21"/>
          <w:highlight w:val="none"/>
          <w:u w:val="single" w:color="000000"/>
        </w:rPr>
        <w:t xml:space="preserve">                  </w:t>
      </w:r>
    </w:p>
    <w:p>
      <w:pPr>
        <w:spacing w:after="0" w:line="40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签订地点：                                    签订时间：   年  月  日</w:t>
      </w:r>
    </w:p>
    <w:p>
      <w:pPr>
        <w:spacing w:after="0" w:line="400" w:lineRule="exact"/>
        <w:ind w:firstLine="420" w:firstLineChars="200"/>
        <w:jc w:val="both"/>
        <w:textAlignment w:val="baseline"/>
        <w:rPr>
          <w:rStyle w:val="46"/>
          <w:rFonts w:ascii="宋体" w:hAnsi="宋体" w:eastAsia="宋体" w:cs="宋体"/>
          <w:color w:val="auto"/>
          <w:szCs w:val="21"/>
          <w:highlight w:val="none"/>
        </w:rPr>
      </w:pP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根据《中华人民共和国政府采购法》、《中华人民共和国民法典》等法律、法规规定，按照招投标文件（采购文件）规定条款和中标投标人承诺，甲乙双方签订本合同。</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第一条　合同标的</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1.供货一览表</w:t>
      </w:r>
    </w:p>
    <w:tbl>
      <w:tblPr>
        <w:tblStyle w:val="21"/>
        <w:tblW w:w="9300" w:type="dxa"/>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0"/>
        <w:gridCol w:w="1200"/>
        <w:gridCol w:w="860"/>
        <w:gridCol w:w="1233"/>
        <w:gridCol w:w="1210"/>
        <w:gridCol w:w="908"/>
        <w:gridCol w:w="668"/>
        <w:gridCol w:w="947"/>
        <w:gridCol w:w="14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20"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产品名称</w:t>
            </w: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商标品牌</w:t>
            </w: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规格型号</w:t>
            </w:r>
          </w:p>
        </w:tc>
        <w:tc>
          <w:tcPr>
            <w:tcW w:w="121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生产厂家</w:t>
            </w:r>
          </w:p>
        </w:tc>
        <w:tc>
          <w:tcPr>
            <w:tcW w:w="90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数  量</w:t>
            </w:r>
          </w:p>
        </w:tc>
        <w:tc>
          <w:tcPr>
            <w:tcW w:w="668"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单位</w:t>
            </w: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  价</w:t>
            </w:r>
          </w:p>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（元）</w:t>
            </w: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金  额</w:t>
            </w:r>
          </w:p>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78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860"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33"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210"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0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668" w:type="dxa"/>
            <w:tcBorders>
              <w:top w:val="single" w:color="000000" w:sz="4" w:space="0"/>
              <w:left w:val="single" w:color="000000" w:sz="4" w:space="0"/>
              <w:bottom w:val="single" w:color="000000" w:sz="4" w:space="0"/>
              <w:right w:val="single" w:color="000000" w:sz="4" w:space="0"/>
            </w:tcBorders>
          </w:tcPr>
          <w:p>
            <w:pPr>
              <w:spacing w:after="0" w:line="420" w:lineRule="exact"/>
              <w:jc w:val="center"/>
              <w:textAlignment w:val="baseline"/>
              <w:rPr>
                <w:rStyle w:val="46"/>
                <w:rFonts w:ascii="宋体" w:hAnsi="宋体" w:eastAsia="宋体" w:cs="宋体"/>
                <w:color w:val="auto"/>
                <w:szCs w:val="21"/>
                <w:highlight w:val="none"/>
              </w:rPr>
            </w:pPr>
          </w:p>
        </w:tc>
        <w:tc>
          <w:tcPr>
            <w:tcW w:w="947"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c>
          <w:tcPr>
            <w:tcW w:w="1494" w:type="dxa"/>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textAlignment w:val="baseline"/>
              <w:rPr>
                <w:rStyle w:val="46"/>
                <w:rFonts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5" w:hRule="atLeast"/>
        </w:trPr>
        <w:tc>
          <w:tcPr>
            <w:tcW w:w="9300" w:type="dxa"/>
            <w:gridSpan w:val="9"/>
            <w:tcBorders>
              <w:top w:val="single" w:color="000000" w:sz="4" w:space="0"/>
              <w:left w:val="single" w:color="000000" w:sz="4" w:space="0"/>
              <w:bottom w:val="single" w:color="000000" w:sz="4" w:space="0"/>
              <w:right w:val="single" w:color="000000" w:sz="4" w:space="0"/>
            </w:tcBorders>
            <w:vAlign w:val="center"/>
          </w:tcPr>
          <w:p>
            <w:pPr>
              <w:spacing w:after="0" w:line="420" w:lineRule="exact"/>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人民币合计金额：</w:t>
            </w:r>
          </w:p>
        </w:tc>
      </w:tr>
    </w:tbl>
    <w:p>
      <w:pPr>
        <w:spacing w:after="0" w:line="420" w:lineRule="exact"/>
        <w:ind w:right="52"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2.合同合计金额包括货物价款，备件、专用工具、安装、调试、检验、技术培训及技术资料和包装、运输等全部费用。如招投标文件对其另有规定的，从其规定。</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第二条　质量保证</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1.乙方所提供的货物型号、技术规格、技术参数等质量必须与招投标文件和承诺相一致。乙方提供的自主创新产品、节能和环保产品必须是列入政府采购清单的产品。</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2.乙方所提供的货物必须是全新、未经使用的原装产品，</w:t>
      </w:r>
      <w:r>
        <w:rPr>
          <w:rStyle w:val="46"/>
          <w:rFonts w:hint="eastAsia" w:ascii="宋体" w:hAnsi="宋体" w:eastAsia="宋体" w:cs="宋体"/>
          <w:color w:val="auto"/>
          <w:szCs w:val="21"/>
          <w:highlight w:val="none"/>
          <w:lang w:val="en-US" w:eastAsia="zh-CN"/>
        </w:rPr>
        <w:t>国产</w:t>
      </w:r>
      <w:r>
        <w:rPr>
          <w:rStyle w:val="46"/>
          <w:rFonts w:hint="eastAsia" w:ascii="宋体" w:hAnsi="宋体" w:eastAsia="宋体" w:cs="宋体"/>
          <w:color w:val="auto"/>
          <w:szCs w:val="21"/>
          <w:highlight w:val="none"/>
          <w:lang w:eastAsia="zh-CN"/>
        </w:rPr>
        <w:t>设备生产日期在</w:t>
      </w:r>
      <w:r>
        <w:rPr>
          <w:rStyle w:val="46"/>
          <w:rFonts w:hint="eastAsia" w:ascii="宋体" w:hAnsi="宋体" w:eastAsia="宋体" w:cs="宋体"/>
          <w:color w:val="auto"/>
          <w:szCs w:val="21"/>
          <w:highlight w:val="none"/>
          <w:lang w:val="en-US" w:eastAsia="zh-CN"/>
        </w:rPr>
        <w:t>竞标之日前半</w:t>
      </w:r>
      <w:r>
        <w:rPr>
          <w:rStyle w:val="46"/>
          <w:rFonts w:hint="eastAsia" w:ascii="宋体" w:hAnsi="宋体" w:eastAsia="宋体" w:cs="宋体"/>
          <w:color w:val="auto"/>
          <w:szCs w:val="21"/>
          <w:highlight w:val="none"/>
          <w:lang w:eastAsia="zh-CN"/>
        </w:rPr>
        <w:t>年内，</w:t>
      </w:r>
      <w:r>
        <w:rPr>
          <w:rStyle w:val="46"/>
          <w:rFonts w:hint="eastAsia" w:ascii="宋体" w:hAnsi="宋体" w:eastAsia="宋体" w:cs="宋体"/>
          <w:color w:val="auto"/>
          <w:szCs w:val="21"/>
          <w:highlight w:val="none"/>
          <w:lang w:val="en-US" w:eastAsia="zh-CN"/>
        </w:rPr>
        <w:t>进口设备生产日期在竞标之日前一年内，</w:t>
      </w:r>
      <w:r>
        <w:rPr>
          <w:rStyle w:val="46"/>
          <w:rFonts w:hint="eastAsia" w:ascii="宋体" w:hAnsi="宋体" w:eastAsia="宋体" w:cs="宋体"/>
          <w:color w:val="auto"/>
          <w:szCs w:val="21"/>
          <w:highlight w:val="none"/>
          <w:lang w:eastAsia="zh-CN"/>
        </w:rPr>
        <w:t>在装机、验收、入库期间有质量问题应提供整机更换或退货</w:t>
      </w:r>
      <w:r>
        <w:rPr>
          <w:rStyle w:val="46"/>
          <w:rFonts w:hint="eastAsia" w:ascii="宋体" w:hAnsi="宋体" w:eastAsia="宋体" w:cs="宋体"/>
          <w:color w:val="auto"/>
          <w:szCs w:val="21"/>
          <w:highlight w:val="none"/>
        </w:rPr>
        <w:t>；且在正常安装、使用和保养条件下，其使用寿命期内各项指标均达到质量要求。所有货物都提供使用说明书和详细装箱清单及质量合格证。</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第三条　权利保证</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乙方应保证所提供货物在使用时不会侵犯任何第三方的专利权、商标权、工业设计权或其他权利。</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乙方应按招标文件规定的时间向甲方提供使用货物的有关技术资料。</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乙方保证所交付的货物的所有权完全属于乙方且无任何抵押、质押、查封等产权瑕疵。</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第四条　包装和运输</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1.乙方提供的货物均应按招投标文件要求的包装材料、包装标准、包装方式进行包装，每一包装单元内应附详细的装箱单和质量合格证。</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2.货物的运输方式：</w:t>
      </w:r>
      <w:r>
        <w:rPr>
          <w:rStyle w:val="46"/>
          <w:rFonts w:hint="eastAsia" w:ascii="宋体" w:hAnsi="宋体" w:eastAsia="宋体" w:cs="宋体"/>
          <w:color w:val="auto"/>
          <w:szCs w:val="21"/>
          <w:highlight w:val="none"/>
          <w:u w:val="single" w:color="000000"/>
        </w:rPr>
        <w:t xml:space="preserve">  不限   </w:t>
      </w:r>
      <w:r>
        <w:rPr>
          <w:rStyle w:val="46"/>
          <w:rFonts w:hint="eastAsia" w:ascii="宋体" w:hAnsi="宋体" w:eastAsia="宋体" w:cs="宋体"/>
          <w:color w:val="auto"/>
          <w:szCs w:val="21"/>
          <w:highlight w:val="none"/>
        </w:rPr>
        <w:t>。</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3.乙方负责货物运输，货物运输合理损耗及计算方法：</w:t>
      </w:r>
      <w:r>
        <w:rPr>
          <w:rStyle w:val="46"/>
          <w:rFonts w:hint="eastAsia" w:ascii="宋体" w:hAnsi="宋体" w:eastAsia="宋体" w:cs="宋体"/>
          <w:color w:val="auto"/>
          <w:szCs w:val="21"/>
          <w:highlight w:val="none"/>
          <w:u w:val="single" w:color="000000"/>
        </w:rPr>
        <w:t xml:space="preserve">  本项目合同不接受损耗 </w:t>
      </w:r>
      <w:r>
        <w:rPr>
          <w:rStyle w:val="46"/>
          <w:rFonts w:hint="eastAsia" w:ascii="宋体" w:hAnsi="宋体" w:eastAsia="宋体" w:cs="宋体"/>
          <w:color w:val="auto"/>
          <w:szCs w:val="21"/>
          <w:highlight w:val="none"/>
        </w:rPr>
        <w:t>。</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第五条　交付和验收</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1.交付时间：合同签订之日起</w:t>
      </w:r>
      <w:r>
        <w:rPr>
          <w:rStyle w:val="46"/>
          <w:rFonts w:hint="eastAsia" w:ascii="宋体" w:hAnsi="宋体" w:eastAsia="宋体" w:cs="宋体"/>
          <w:color w:val="auto"/>
          <w:szCs w:val="21"/>
          <w:highlight w:val="none"/>
          <w:lang w:val="en-US"/>
        </w:rPr>
        <w:t>2</w:t>
      </w:r>
      <w:r>
        <w:rPr>
          <w:rStyle w:val="46"/>
          <w:rFonts w:hint="eastAsia" w:ascii="宋体" w:hAnsi="宋体" w:eastAsia="宋体" w:cs="宋体"/>
          <w:color w:val="auto"/>
          <w:szCs w:val="21"/>
          <w:highlight w:val="none"/>
        </w:rPr>
        <w:t>0日内完成供货，调试，通过验收并交付使用。</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2.交付地点：采购人指定地点。</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3.乙方提供不符合招投标文件和本合同规定的货物，甲方有权拒绝接受。</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4.乙方应将所提供货物的装箱清单、用户手册、原厂保修卡、随机资料、工具和备品、备件等交付给甲方，如有缺失应及时补齐，否则视为逾期交货。</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5.甲方应当在到货（安装、调试完）后七个工作日内进行验收，逾期不验收的，乙方可视同验收合格。验收合格后由甲乙双方签署货物验收单并加盖采购单位公章，甲乙双方各执一份。</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6.甲方组织的验收项目，其验收时间以该项目验收方案确定的验收时间为准，验收结果以该项目验收报告结论为准。在验收过程中发现乙方有违约问题，可暂缓资金结算，待违约问题解决后，方可办理资金结算事宜。</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7.甲方对验收有异议的，在验收后十个工作日内以书面形式向乙方提出，乙方应自收到甲方书面异议后</w:t>
      </w:r>
      <w:r>
        <w:rPr>
          <w:rStyle w:val="46"/>
          <w:rFonts w:hint="eastAsia" w:ascii="宋体" w:hAnsi="宋体" w:eastAsia="宋体" w:cs="宋体"/>
          <w:color w:val="auto"/>
          <w:szCs w:val="21"/>
          <w:highlight w:val="none"/>
          <w:u w:val="single" w:color="000000"/>
        </w:rPr>
        <w:t xml:space="preserve"> 10个工作 </w:t>
      </w:r>
      <w:r>
        <w:rPr>
          <w:rStyle w:val="46"/>
          <w:rFonts w:hint="eastAsia" w:ascii="宋体" w:hAnsi="宋体" w:eastAsia="宋体" w:cs="宋体"/>
          <w:color w:val="auto"/>
          <w:szCs w:val="21"/>
          <w:highlight w:val="none"/>
        </w:rPr>
        <w:t>日内及时予以解决。</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第六条　安装和培训</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1.甲方应协调解决必要安装条件（如场地、电源、水源等）。</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2.乙方负责甲方有关人员的培训。培训时间、地点：</w:t>
      </w:r>
      <w:r>
        <w:rPr>
          <w:rStyle w:val="46"/>
          <w:rFonts w:hint="eastAsia" w:ascii="宋体" w:hAnsi="宋体" w:eastAsia="宋体" w:cs="宋体"/>
          <w:color w:val="auto"/>
          <w:szCs w:val="21"/>
          <w:highlight w:val="none"/>
          <w:u w:val="single" w:color="000000"/>
        </w:rPr>
        <w:t>见《售后服务承诺书》。</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第七条  售后服务、质保期</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1.乙方应按照国家有关法律法规和“三包”规定以及招投标文件和本合同所附的《服务承诺》，为甲方提供售后服务。</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2.货物质保期：</w:t>
      </w:r>
      <w:r>
        <w:rPr>
          <w:rStyle w:val="46"/>
          <w:rFonts w:hint="eastAsia" w:ascii="宋体" w:hAnsi="宋体" w:eastAsia="宋体" w:cs="宋体"/>
          <w:color w:val="auto"/>
          <w:szCs w:val="21"/>
          <w:highlight w:val="none"/>
          <w:u w:val="single" w:color="000000"/>
        </w:rPr>
        <w:t xml:space="preserve">                。</w:t>
      </w:r>
    </w:p>
    <w:p>
      <w:pPr>
        <w:spacing w:after="0" w:line="420" w:lineRule="exact"/>
        <w:ind w:firstLine="420" w:firstLineChars="200"/>
        <w:jc w:val="both"/>
        <w:textAlignment w:val="baseline"/>
        <w:rPr>
          <w:rStyle w:val="46"/>
          <w:rFonts w:ascii="宋体" w:hAnsi="宋体" w:eastAsia="宋体" w:cs="宋体"/>
          <w:color w:val="auto"/>
          <w:szCs w:val="21"/>
          <w:highlight w:val="none"/>
          <w:u w:val="single"/>
        </w:rPr>
      </w:pPr>
      <w:r>
        <w:rPr>
          <w:rStyle w:val="46"/>
          <w:rFonts w:hint="eastAsia" w:ascii="宋体" w:hAnsi="宋体" w:eastAsia="宋体" w:cs="宋体"/>
          <w:color w:val="auto"/>
          <w:szCs w:val="21"/>
          <w:highlight w:val="none"/>
        </w:rPr>
        <w:t>3.乙方提供的服务承诺和售后服务及保修期责任等其它具体约定事项。（见合同附件）</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第八条　付款方式</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bCs/>
          <w:color w:val="auto"/>
          <w:szCs w:val="21"/>
          <w:highlight w:val="none"/>
        </w:rPr>
        <w:t>1.</w:t>
      </w:r>
      <w:r>
        <w:rPr>
          <w:rStyle w:val="46"/>
          <w:rFonts w:hint="eastAsia" w:hAnsi="宋体" w:eastAsia="宋体" w:cs="宋体"/>
          <w:color w:val="auto"/>
          <w:szCs w:val="21"/>
          <w:highlight w:val="none"/>
        </w:rPr>
        <w:t>当采购数量与实际使用数量不一致时，乙方应根据实际使用量供货，合同的最终结算金额按实际使用量乘以成交单价进行计算。</w:t>
      </w:r>
    </w:p>
    <w:p>
      <w:pPr>
        <w:spacing w:after="0" w:line="420" w:lineRule="exact"/>
        <w:ind w:firstLine="420" w:firstLineChars="200"/>
        <w:jc w:val="both"/>
        <w:textAlignment w:val="baseline"/>
        <w:rPr>
          <w:rStyle w:val="46"/>
          <w:rFonts w:hint="eastAsia" w:ascii="宋体" w:hAnsi="宋体" w:eastAsia="宋体" w:cs="宋体"/>
          <w:color w:val="auto"/>
          <w:szCs w:val="21"/>
          <w:highlight w:val="none"/>
        </w:rPr>
      </w:pPr>
      <w:r>
        <w:rPr>
          <w:rStyle w:val="46"/>
          <w:rFonts w:hint="eastAsia" w:ascii="宋体" w:hAnsi="宋体" w:eastAsia="宋体" w:cs="宋体"/>
          <w:color w:val="auto"/>
          <w:szCs w:val="21"/>
          <w:highlight w:val="none"/>
        </w:rPr>
        <w:t>2.资金性质：2025年中央补助广西医疗服务与保障能力提升资金。</w:t>
      </w:r>
    </w:p>
    <w:p>
      <w:pPr>
        <w:spacing w:after="0" w:line="420" w:lineRule="exact"/>
        <w:ind w:firstLine="422" w:firstLineChars="200"/>
        <w:jc w:val="both"/>
        <w:textAlignment w:val="baseline"/>
        <w:rPr>
          <w:rStyle w:val="46"/>
          <w:rFonts w:ascii="宋体" w:hAnsi="宋体" w:eastAsia="宋体" w:cs="宋体"/>
          <w:color w:val="auto"/>
          <w:sz w:val="21"/>
          <w:szCs w:val="21"/>
          <w:highlight w:val="none"/>
        </w:rPr>
      </w:pPr>
      <w:r>
        <w:rPr>
          <w:rStyle w:val="46"/>
          <w:rFonts w:hint="eastAsia" w:ascii="宋体" w:hAnsi="宋体" w:eastAsia="宋体" w:cs="宋体"/>
          <w:b/>
          <w:bCs/>
          <w:color w:val="auto"/>
          <w:sz w:val="21"/>
          <w:szCs w:val="21"/>
          <w:highlight w:val="none"/>
        </w:rPr>
        <w:t>3.付款方式：</w:t>
      </w:r>
      <w:r>
        <w:rPr>
          <w:rFonts w:hint="eastAsia" w:ascii="宋体" w:hAnsi="宋体" w:eastAsia="宋体" w:cs="Arial"/>
          <w:bCs/>
          <w:color w:val="000000"/>
          <w:sz w:val="21"/>
          <w:szCs w:val="21"/>
          <w:highlight w:val="none"/>
          <w:lang w:val="en-US" w:eastAsia="zh-CN"/>
        </w:rPr>
        <w:t>1）支付形式：采用银行转账方式，采购人（或相关付款责任方）将款项直接汇入成交供应商指定的合法有效银行账户（成交供应商需提前提供账户信息并确保真实性、有效性）。（2）付款计划：因本项目资金由财政局统一拨付（资金来源为2025年中央补助广西医疗服务与保障能力提升专项资金），专项资金下拨后一次性拨付全部款项。</w:t>
      </w:r>
    </w:p>
    <w:p>
      <w:pPr>
        <w:spacing w:after="0" w:line="420" w:lineRule="exact"/>
        <w:ind w:left="-61" w:firstLine="514"/>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第九条  税费</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本合同执行中相关的一切税费均由乙方负担。</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第十条  质量保证及售后服务</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1.乙方应按招标文件规定的货物性能、技术要求、质量标准向甲方提供未经使用的全新产品。不符合要求的，根据实际情况，经双方协商，可按以下办法处理：</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⑴更换：由乙方承担所发生的全部费用。</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⑵贬值处理：由甲乙双方合议定价。</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⑶退货处理：乙方应退还甲方支付的合同款，同时应承担该货物的直接费用（运输、保险、检验、货款利息及银行手续费等）。</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2.如在使用过程中发生质量问题，乙方在接到甲方通知后在</w:t>
      </w:r>
      <w:r>
        <w:rPr>
          <w:rStyle w:val="46"/>
          <w:rFonts w:hint="eastAsia" w:hAnsi="宋体" w:eastAsia="宋体" w:cs="宋体"/>
          <w:color w:val="auto"/>
          <w:szCs w:val="21"/>
          <w:highlight w:val="none"/>
          <w:u w:val="single" w:color="000000"/>
        </w:rPr>
        <w:t xml:space="preserve"> 乙方售后服务承诺</w:t>
      </w:r>
      <w:r>
        <w:rPr>
          <w:rStyle w:val="46"/>
          <w:rFonts w:hint="eastAsia" w:hAnsi="宋体" w:eastAsia="宋体" w:cs="宋体"/>
          <w:color w:val="auto"/>
          <w:szCs w:val="21"/>
          <w:highlight w:val="none"/>
          <w:u w:val="single" w:color="000000"/>
          <w:lang w:val="en-US"/>
        </w:rPr>
        <w:t>6</w:t>
      </w:r>
      <w:r>
        <w:rPr>
          <w:rStyle w:val="46"/>
          <w:rFonts w:hint="eastAsia" w:hAnsi="宋体" w:eastAsia="宋体" w:cs="宋体"/>
          <w:color w:val="auto"/>
          <w:szCs w:val="21"/>
          <w:highlight w:val="none"/>
        </w:rPr>
        <w:t>小时内到达甲方现场处理。</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3.在质保期内，乙方应对货物出现的质量及安全问题负责处理解决并承担一切费用。</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4.上述的货物质保期按</w:t>
      </w:r>
      <w:r>
        <w:rPr>
          <w:rStyle w:val="46"/>
          <w:rFonts w:hint="eastAsia" w:ascii="宋体" w:hAnsi="宋体" w:eastAsia="宋体" w:cs="宋体"/>
          <w:color w:val="auto"/>
          <w:szCs w:val="21"/>
          <w:highlight w:val="none"/>
          <w:u w:val="single" w:color="000000"/>
        </w:rPr>
        <w:t>《商务响应表》承诺</w:t>
      </w:r>
      <w:r>
        <w:rPr>
          <w:rStyle w:val="46"/>
          <w:rFonts w:hint="eastAsia" w:ascii="宋体" w:hAnsi="宋体" w:eastAsia="宋体" w:cs="宋体"/>
          <w:color w:val="auto"/>
          <w:szCs w:val="21"/>
          <w:highlight w:val="none"/>
        </w:rPr>
        <w:t>，因人为因素出现的故障不在免费保修范围内。超过保修期的机器设备，终生维修，维修时只收部件成本费。</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第十一条  调试和验收</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1.乙方所提供的货物与投标文件中承诺的技术参数不符的或未提供以上货物去采购人处进行验收的，甲方将报同级财政监督管理部门进行处理，由此导致整批货物被拒收或索赔而引发的所有损失由乙方承担。</w:t>
      </w:r>
    </w:p>
    <w:p>
      <w:pPr>
        <w:spacing w:after="0" w:line="420" w:lineRule="exact"/>
        <w:ind w:left="-61" w:firstLine="514"/>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甲方有权要求乙方提供所投设备到采购单位进行参数性能检测，并提供生产厂家盖章的检测报告原件备查，不能提供的则有权不予验收。产品性能检测合格后封存，待项目验收时对安装设备与封存设备对比，如出现安装和封存的设备不符，甲方有权拒绝项目验收，并加以法律诉讼，追讨损失。</w:t>
      </w:r>
    </w:p>
    <w:p>
      <w:pPr>
        <w:pStyle w:val="48"/>
        <w:spacing w:after="0" w:line="420" w:lineRule="exact"/>
        <w:ind w:firstLine="413" w:firstLineChars="196"/>
        <w:rPr>
          <w:rStyle w:val="46"/>
          <w:rFonts w:hAnsi="宋体" w:eastAsia="宋体" w:cs="宋体"/>
          <w:b/>
          <w:color w:val="auto"/>
          <w:szCs w:val="21"/>
          <w:highlight w:val="none"/>
        </w:rPr>
      </w:pPr>
      <w:r>
        <w:rPr>
          <w:rStyle w:val="46"/>
          <w:rFonts w:hint="eastAsia" w:hAnsi="宋体" w:eastAsia="宋体" w:cs="宋体"/>
          <w:b/>
          <w:color w:val="auto"/>
          <w:szCs w:val="21"/>
          <w:highlight w:val="none"/>
        </w:rPr>
        <w:t>第十二条  货物包装、发运及运输</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1.乙方应在货物发运前对其进行满足运输距离、防潮、防震、防锈和防破损装卸等要求包装，以保证货物安全运达甲方指定地点。</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2.使用说明书、质量检验证明书、随配附件和工具以及清单一并附于货物内。</w:t>
      </w:r>
    </w:p>
    <w:p>
      <w:pPr>
        <w:pStyle w:val="48"/>
        <w:spacing w:after="0" w:line="420" w:lineRule="exact"/>
        <w:rPr>
          <w:rStyle w:val="46"/>
          <w:rFonts w:hAnsi="宋体" w:eastAsia="宋体" w:cs="宋体"/>
          <w:color w:val="auto"/>
          <w:szCs w:val="21"/>
          <w:highlight w:val="none"/>
        </w:rPr>
      </w:pPr>
      <w:r>
        <w:rPr>
          <w:rStyle w:val="46"/>
          <w:rFonts w:hint="eastAsia" w:hAnsi="宋体" w:eastAsia="宋体" w:cs="宋体"/>
          <w:color w:val="auto"/>
          <w:szCs w:val="21"/>
          <w:highlight w:val="none"/>
        </w:rPr>
        <w:t xml:space="preserve">    3.乙方在货物发运手续办理完毕后二十四小时内或货到甲方四十八小时前通知甲方，以准备接货。</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4.货物在交付甲方前发生的风险均由乙方负责。</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5.货</w:t>
      </w:r>
      <w:r>
        <w:rPr>
          <w:rStyle w:val="46"/>
          <w:rFonts w:hint="eastAsia" w:ascii="宋体" w:hAnsi="宋体" w:eastAsia="宋体" w:cs="宋体"/>
          <w:color w:val="auto"/>
          <w:spacing w:val="-8"/>
          <w:szCs w:val="21"/>
          <w:highlight w:val="none"/>
        </w:rPr>
        <w:t>物在规定的交付期限内由乙方送达甲方指定的地点视为交付，乙方同时需通知甲方货物已送达。</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第十三条　违约责任</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pacing w:after="0" w:line="420" w:lineRule="exact"/>
        <w:ind w:firstLine="472" w:firstLineChars="225"/>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2.乙方提供的货物如侵犯了第三方合法权益而引发的任何纠纷或诉讼，均由乙方负责交涉并承担全部责任。</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3.因包装、运输引起的货物损坏，按质量不合格处罚。</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4.乙方未按本合同和投标文件中规定的服务承诺提供售后服务的，乙方应按本合同合计金额</w:t>
      </w:r>
      <w:r>
        <w:rPr>
          <w:rStyle w:val="46"/>
          <w:rFonts w:hint="eastAsia" w:ascii="宋体" w:hAnsi="宋体" w:eastAsia="宋体" w:cs="宋体"/>
          <w:color w:val="auto"/>
          <w:szCs w:val="21"/>
          <w:highlight w:val="none"/>
          <w:u w:val="single" w:color="000000"/>
        </w:rPr>
        <w:t xml:space="preserve"> 5%</w:t>
      </w:r>
      <w:r>
        <w:rPr>
          <w:rStyle w:val="46"/>
          <w:rFonts w:hint="eastAsia" w:ascii="宋体" w:hAnsi="宋体" w:eastAsia="宋体" w:cs="宋体"/>
          <w:color w:val="auto"/>
          <w:szCs w:val="21"/>
          <w:highlight w:val="none"/>
        </w:rPr>
        <w:t>向甲方支付违约金。</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5.乙方提供的货物在质量保证期内，因设计、工艺或材料的缺陷和其它质量原因造成的问题，由乙方负责，费用从质量保证金中扣除，不足另补。</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6.其它违约行为按违约货款额5%收取违约金并赔偿经济损失。</w:t>
      </w:r>
    </w:p>
    <w:p>
      <w:pPr>
        <w:pStyle w:val="48"/>
        <w:spacing w:after="0" w:line="420" w:lineRule="exact"/>
        <w:ind w:firstLine="413" w:firstLineChars="196"/>
        <w:rPr>
          <w:rStyle w:val="46"/>
          <w:rFonts w:hAnsi="宋体" w:eastAsia="宋体" w:cs="宋体"/>
          <w:b/>
          <w:color w:val="auto"/>
          <w:szCs w:val="21"/>
          <w:highlight w:val="none"/>
        </w:rPr>
      </w:pPr>
      <w:r>
        <w:rPr>
          <w:rStyle w:val="46"/>
          <w:rFonts w:hint="eastAsia" w:hAnsi="宋体" w:eastAsia="宋体" w:cs="宋体"/>
          <w:b/>
          <w:color w:val="auto"/>
          <w:szCs w:val="21"/>
          <w:highlight w:val="none"/>
        </w:rPr>
        <w:t>第十四条  不可抗力事件处理</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1.在合同有效期内，任何一方因不可抗力事件导致不能履行合同，则合同履行期可延长，其延长期与不可抗力影响期相同。</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2.不可抗力事件发生后，应立即通知对方，并寄送有关权威机构出具的证明。</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3.不可抗力事件延续一百二十天以上，双方应通过友好协商，确定是否继续履行合同。</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第十五条  合同争议解决</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2.因履行本合同引起的或与本合同有关的争议，甲乙双方应首先通过友好协商解决，如果协商不能解决，向甲方所在地人民法院提起诉讼。</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3.诉讼期间，本合同继续履行。</w:t>
      </w:r>
    </w:p>
    <w:p>
      <w:pPr>
        <w:pStyle w:val="48"/>
        <w:spacing w:after="0" w:line="420" w:lineRule="exact"/>
        <w:ind w:firstLine="413" w:firstLineChars="196"/>
        <w:rPr>
          <w:rStyle w:val="46"/>
          <w:rFonts w:hAnsi="宋体" w:eastAsia="宋体" w:cs="宋体"/>
          <w:b/>
          <w:color w:val="auto"/>
          <w:szCs w:val="21"/>
          <w:highlight w:val="none"/>
        </w:rPr>
      </w:pPr>
      <w:r>
        <w:rPr>
          <w:rStyle w:val="46"/>
          <w:rFonts w:hint="eastAsia" w:hAnsi="宋体" w:eastAsia="宋体" w:cs="宋体"/>
          <w:b/>
          <w:color w:val="auto"/>
          <w:szCs w:val="21"/>
          <w:highlight w:val="none"/>
        </w:rPr>
        <w:t>第十六条  合同生效及其它</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1.合同经双方法定代表人（负责人）或被授权代表签字并加盖单位公章后生效。</w:t>
      </w:r>
    </w:p>
    <w:p>
      <w:pPr>
        <w:pStyle w:val="48"/>
        <w:spacing w:after="0" w:line="420" w:lineRule="exact"/>
        <w:ind w:firstLine="420" w:firstLineChars="200"/>
        <w:rPr>
          <w:rStyle w:val="46"/>
          <w:rFonts w:hAnsi="宋体" w:eastAsia="宋体" w:cs="宋体"/>
          <w:color w:val="auto"/>
          <w:szCs w:val="21"/>
          <w:highlight w:val="none"/>
        </w:rPr>
      </w:pPr>
      <w:r>
        <w:rPr>
          <w:rStyle w:val="46"/>
          <w:rFonts w:hint="eastAsia" w:hAnsi="宋体" w:eastAsia="宋体" w:cs="宋体"/>
          <w:color w:val="auto"/>
          <w:szCs w:val="21"/>
          <w:highlight w:val="none"/>
        </w:rPr>
        <w:t>2.合同执行中涉及采购资金和采购内容修改或补充的，须经财政部门审批，并签书面补充协议报财政部门备案，方可作为主合同不可分割的一部分。</w:t>
      </w:r>
    </w:p>
    <w:p>
      <w:pPr>
        <w:pStyle w:val="48"/>
        <w:spacing w:after="0" w:line="420" w:lineRule="exact"/>
        <w:ind w:left="440" w:leftChars="200"/>
        <w:rPr>
          <w:rStyle w:val="46"/>
          <w:rFonts w:hAnsi="宋体" w:eastAsia="宋体" w:cs="宋体"/>
          <w:color w:val="auto"/>
          <w:szCs w:val="21"/>
          <w:highlight w:val="none"/>
        </w:rPr>
      </w:pPr>
      <w:r>
        <w:rPr>
          <w:rStyle w:val="46"/>
          <w:rFonts w:hint="eastAsia" w:hAnsi="宋体" w:eastAsia="宋体" w:cs="宋体"/>
          <w:color w:val="auto"/>
          <w:szCs w:val="21"/>
          <w:highlight w:val="none"/>
        </w:rPr>
        <w:t>3.本合同未尽事宜，遵照《合同法》有关条文执行。</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第十七条　合同的变更、终止与转让</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1.除《中华人民共和国政府采购法》第五十条规定的情形外，本合同一经签订，甲乙双方不得擅自变更、中止或终止。</w:t>
      </w:r>
    </w:p>
    <w:p>
      <w:pPr>
        <w:spacing w:after="0" w:line="420" w:lineRule="exact"/>
        <w:ind w:firstLine="420"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2.乙方不得擅自转让（无进口资格的投标人委托进口货物除外）其应履行的合同义务。</w:t>
      </w:r>
    </w:p>
    <w:p>
      <w:pPr>
        <w:spacing w:after="0" w:line="420" w:lineRule="exact"/>
        <w:ind w:firstLine="422" w:firstLineChars="200"/>
        <w:jc w:val="both"/>
        <w:textAlignment w:val="baseline"/>
        <w:rPr>
          <w:rStyle w:val="46"/>
          <w:rFonts w:ascii="宋体" w:hAnsi="宋体" w:eastAsia="宋体" w:cs="宋体"/>
          <w:b/>
          <w:color w:val="auto"/>
          <w:szCs w:val="21"/>
          <w:highlight w:val="none"/>
        </w:rPr>
      </w:pPr>
      <w:r>
        <w:rPr>
          <w:rStyle w:val="46"/>
          <w:rFonts w:hint="eastAsia" w:ascii="宋体" w:hAnsi="宋体" w:eastAsia="宋体" w:cs="宋体"/>
          <w:b/>
          <w:color w:val="auto"/>
          <w:szCs w:val="21"/>
          <w:highlight w:val="none"/>
        </w:rPr>
        <w:t>第十八条　签订本合同依据</w:t>
      </w:r>
    </w:p>
    <w:p>
      <w:pPr>
        <w:pStyle w:val="48"/>
        <w:spacing w:after="0" w:line="420" w:lineRule="exact"/>
        <w:ind w:left="440" w:leftChars="200"/>
        <w:outlineLvl w:val="1"/>
        <w:rPr>
          <w:rStyle w:val="46"/>
          <w:rFonts w:hAnsi="宋体" w:eastAsia="宋体" w:cs="宋体"/>
          <w:color w:val="auto"/>
          <w:szCs w:val="21"/>
          <w:highlight w:val="none"/>
        </w:rPr>
      </w:pPr>
      <w:r>
        <w:rPr>
          <w:rStyle w:val="46"/>
          <w:rFonts w:hint="eastAsia" w:hAnsi="宋体" w:eastAsia="宋体" w:cs="宋体"/>
          <w:color w:val="auto"/>
          <w:szCs w:val="21"/>
          <w:highlight w:val="none"/>
        </w:rPr>
        <w:t>1.政府采购招标文件；</w:t>
      </w:r>
    </w:p>
    <w:p>
      <w:pPr>
        <w:pStyle w:val="48"/>
        <w:spacing w:after="0" w:line="420" w:lineRule="exact"/>
        <w:ind w:left="440" w:leftChars="200"/>
        <w:outlineLvl w:val="1"/>
        <w:rPr>
          <w:rStyle w:val="46"/>
          <w:rFonts w:hAnsi="宋体" w:eastAsia="宋体" w:cs="宋体"/>
          <w:color w:val="auto"/>
          <w:szCs w:val="21"/>
          <w:highlight w:val="none"/>
        </w:rPr>
      </w:pPr>
      <w:r>
        <w:rPr>
          <w:rStyle w:val="46"/>
          <w:rFonts w:hint="eastAsia" w:hAnsi="宋体" w:eastAsia="宋体" w:cs="宋体"/>
          <w:color w:val="auto"/>
          <w:szCs w:val="21"/>
          <w:highlight w:val="none"/>
        </w:rPr>
        <w:t>2.乙方提供的采购投标（或应答）文件；</w:t>
      </w:r>
    </w:p>
    <w:p>
      <w:pPr>
        <w:pStyle w:val="48"/>
        <w:spacing w:after="0" w:line="420" w:lineRule="exact"/>
        <w:ind w:left="440" w:leftChars="200"/>
        <w:outlineLvl w:val="1"/>
        <w:rPr>
          <w:rStyle w:val="46"/>
          <w:rFonts w:hAnsi="宋体" w:eastAsia="宋体" w:cs="宋体"/>
          <w:b/>
          <w:color w:val="auto"/>
          <w:szCs w:val="21"/>
          <w:highlight w:val="none"/>
        </w:rPr>
      </w:pPr>
      <w:r>
        <w:rPr>
          <w:rStyle w:val="46"/>
          <w:rFonts w:hint="eastAsia" w:hAnsi="宋体" w:eastAsia="宋体" w:cs="宋体"/>
          <w:color w:val="auto"/>
          <w:szCs w:val="21"/>
          <w:highlight w:val="none"/>
        </w:rPr>
        <w:t>3.中标或成交通知书。</w:t>
      </w:r>
    </w:p>
    <w:p>
      <w:pPr>
        <w:spacing w:after="0" w:line="420" w:lineRule="exact"/>
        <w:ind w:firstLine="422" w:firstLineChars="20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b/>
          <w:color w:val="auto"/>
          <w:szCs w:val="21"/>
          <w:highlight w:val="none"/>
        </w:rPr>
        <w:t>第十九条　</w:t>
      </w:r>
      <w:r>
        <w:rPr>
          <w:rStyle w:val="46"/>
          <w:rFonts w:hint="eastAsia" w:ascii="宋体" w:hAnsi="宋体" w:eastAsia="宋体" w:cs="宋体"/>
          <w:color w:val="auto"/>
          <w:szCs w:val="21"/>
          <w:highlight w:val="none"/>
        </w:rPr>
        <w:t>本合同一式</w:t>
      </w:r>
      <w:r>
        <w:rPr>
          <w:rStyle w:val="46"/>
          <w:rFonts w:hint="eastAsia" w:ascii="宋体" w:hAnsi="宋体" w:eastAsia="宋体" w:cs="宋体"/>
          <w:color w:val="auto"/>
          <w:szCs w:val="21"/>
          <w:highlight w:val="none"/>
          <w:lang w:val="en-US"/>
        </w:rPr>
        <w:t>四</w:t>
      </w:r>
      <w:r>
        <w:rPr>
          <w:rStyle w:val="46"/>
          <w:rFonts w:hint="eastAsia" w:ascii="宋体" w:hAnsi="宋体" w:eastAsia="宋体" w:cs="宋体"/>
          <w:color w:val="auto"/>
          <w:szCs w:val="21"/>
          <w:highlight w:val="none"/>
        </w:rPr>
        <w:t>份，具有同等法律效力，甲</w:t>
      </w:r>
      <w:r>
        <w:rPr>
          <w:rStyle w:val="46"/>
          <w:rFonts w:hint="eastAsia" w:ascii="宋体" w:hAnsi="宋体" w:eastAsia="宋体" w:cs="宋体"/>
          <w:color w:val="auto"/>
          <w:szCs w:val="21"/>
          <w:highlight w:val="none"/>
          <w:lang w:val="en-US"/>
        </w:rPr>
        <w:t>方执三份，</w:t>
      </w:r>
      <w:r>
        <w:rPr>
          <w:rStyle w:val="46"/>
          <w:rFonts w:hint="eastAsia" w:ascii="宋体" w:hAnsi="宋体" w:eastAsia="宋体" w:cs="宋体"/>
          <w:color w:val="auto"/>
          <w:szCs w:val="21"/>
          <w:highlight w:val="none"/>
        </w:rPr>
        <w:t>乙方</w:t>
      </w:r>
      <w:r>
        <w:rPr>
          <w:rStyle w:val="46"/>
          <w:rFonts w:hint="eastAsia" w:ascii="宋体" w:hAnsi="宋体" w:eastAsia="宋体" w:cs="宋体"/>
          <w:color w:val="auto"/>
          <w:szCs w:val="21"/>
          <w:highlight w:val="none"/>
          <w:lang w:val="en-US"/>
        </w:rPr>
        <w:t>执一</w:t>
      </w:r>
      <w:r>
        <w:rPr>
          <w:rStyle w:val="46"/>
          <w:rFonts w:hint="eastAsia" w:ascii="宋体" w:hAnsi="宋体" w:eastAsia="宋体" w:cs="宋体"/>
          <w:color w:val="auto"/>
          <w:szCs w:val="21"/>
          <w:highlight w:val="none"/>
        </w:rPr>
        <w:t>份。本合同甲乙双方签字盖章后生效。</w:t>
      </w:r>
    </w:p>
    <w:p>
      <w:pPr>
        <w:pStyle w:val="14"/>
        <w:spacing w:after="0"/>
        <w:textAlignment w:val="baseline"/>
        <w:rPr>
          <w:rStyle w:val="46"/>
          <w:rFonts w:ascii="宋体" w:hAnsi="宋体" w:eastAsia="宋体" w:cs="宋体"/>
          <w:color w:val="auto"/>
          <w:szCs w:val="21"/>
          <w:highlight w:val="none"/>
        </w:rPr>
      </w:pPr>
    </w:p>
    <w:p>
      <w:pPr>
        <w:pStyle w:val="14"/>
        <w:spacing w:after="0"/>
        <w:textAlignment w:val="baseline"/>
        <w:rPr>
          <w:rStyle w:val="46"/>
          <w:rFonts w:ascii="宋体" w:hAnsi="宋体" w:eastAsia="宋体" w:cs="宋体"/>
          <w:color w:val="auto"/>
          <w:szCs w:val="21"/>
          <w:highlight w:val="none"/>
        </w:rPr>
      </w:pPr>
    </w:p>
    <w:tbl>
      <w:tblPr>
        <w:tblStyle w:val="21"/>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26"/>
        <w:gridCol w:w="4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09"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甲方（章）           </w:t>
            </w:r>
          </w:p>
          <w:p>
            <w:pPr>
              <w:spacing w:after="0"/>
              <w:jc w:val="both"/>
              <w:textAlignment w:val="baseline"/>
              <w:rPr>
                <w:rStyle w:val="46"/>
                <w:rFonts w:ascii="宋体" w:hAnsi="宋体" w:eastAsia="宋体" w:cs="宋体"/>
                <w:color w:val="auto"/>
                <w:szCs w:val="21"/>
                <w:highlight w:val="none"/>
              </w:rPr>
            </w:pPr>
          </w:p>
          <w:p>
            <w:pPr>
              <w:spacing w:after="0"/>
              <w:ind w:firstLine="945" w:firstLineChars="450"/>
              <w:jc w:val="right"/>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年   月   日</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乙方（章）              </w:t>
            </w:r>
          </w:p>
          <w:p>
            <w:pPr>
              <w:spacing w:after="0"/>
              <w:jc w:val="both"/>
              <w:textAlignment w:val="baseline"/>
              <w:rPr>
                <w:rStyle w:val="46"/>
                <w:rFonts w:ascii="宋体" w:hAnsi="宋体" w:eastAsia="宋体" w:cs="宋体"/>
                <w:color w:val="auto"/>
                <w:szCs w:val="21"/>
                <w:highlight w:val="none"/>
              </w:rPr>
            </w:pPr>
          </w:p>
          <w:p>
            <w:pPr>
              <w:spacing w:after="0"/>
              <w:jc w:val="right"/>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单位地址：</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单位地址：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法定代表人（负责人）：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法定代表人（负责人）：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委托代理人：</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电话：</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电子邮箱：</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开户银行：</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开户银行：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账号：</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6" w:hRule="exac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纳税人识别号或统一社会信用代码：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纳税人识别号或统一社会信用代码：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6" w:hRule="atLeast"/>
          <w:jc w:val="center"/>
        </w:trPr>
        <w:tc>
          <w:tcPr>
            <w:tcW w:w="4526"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邮政编码：</w:t>
            </w:r>
          </w:p>
        </w:tc>
        <w:tc>
          <w:tcPr>
            <w:tcW w:w="4752" w:type="dxa"/>
            <w:tcBorders>
              <w:top w:val="single" w:color="000000" w:sz="4" w:space="0"/>
              <w:left w:val="single" w:color="000000" w:sz="4" w:space="0"/>
              <w:bottom w:val="single" w:color="000000" w:sz="4" w:space="0"/>
              <w:right w:val="single" w:color="000000" w:sz="4" w:space="0"/>
            </w:tcBorders>
            <w:vAlign w:val="center"/>
          </w:tcPr>
          <w:p>
            <w:pPr>
              <w:spacing w:after="0"/>
              <w:jc w:val="both"/>
              <w:textAlignment w:val="baseline"/>
              <w:rPr>
                <w:rStyle w:val="46"/>
                <w:rFonts w:ascii="宋体" w:hAnsi="宋体" w:eastAsia="宋体" w:cs="宋体"/>
                <w:color w:val="auto"/>
                <w:szCs w:val="21"/>
                <w:highlight w:val="none"/>
              </w:rPr>
            </w:pPr>
            <w:r>
              <w:rPr>
                <w:rStyle w:val="46"/>
                <w:rFonts w:hint="eastAsia" w:ascii="宋体" w:hAnsi="宋体" w:eastAsia="宋体" w:cs="宋体"/>
                <w:color w:val="auto"/>
                <w:szCs w:val="21"/>
                <w:highlight w:val="none"/>
              </w:rPr>
              <w:t>邮政编码：</w:t>
            </w:r>
          </w:p>
        </w:tc>
      </w:tr>
    </w:tbl>
    <w:p>
      <w:pPr>
        <w:spacing w:line="360" w:lineRule="auto"/>
        <w:ind w:firstLine="480" w:firstLineChars="200"/>
        <w:rPr>
          <w:rFonts w:ascii="宋体" w:hAnsi="宋体" w:eastAsia="宋体" w:cs="宋体"/>
          <w:color w:val="auto"/>
          <w:sz w:val="24"/>
          <w:szCs w:val="24"/>
          <w:highlight w:val="none"/>
          <w:u w:val="single"/>
        </w:rPr>
      </w:pPr>
    </w:p>
    <w:p>
      <w:pPr>
        <w:tabs>
          <w:tab w:val="left" w:pos="7380"/>
        </w:tabs>
        <w:spacing w:line="360" w:lineRule="auto"/>
        <w:jc w:val="center"/>
        <w:rPr>
          <w:rFonts w:ascii="宋体" w:hAnsi="宋体" w:eastAsia="宋体" w:cs="宋体"/>
          <w:color w:val="auto"/>
          <w:sz w:val="24"/>
          <w:szCs w:val="24"/>
          <w:highlight w:val="none"/>
        </w:rPr>
        <w:sectPr>
          <w:footerReference r:id="rId9" w:type="default"/>
          <w:pgSz w:w="11906" w:h="16838"/>
          <w:pgMar w:top="1440" w:right="1080" w:bottom="1440" w:left="1080" w:header="720" w:footer="720" w:gutter="0"/>
          <w:pgNumType w:fmt="decimal"/>
          <w:cols w:space="720" w:num="1"/>
          <w:docGrid w:type="lines" w:linePitch="331" w:charSpace="0"/>
        </w:sectPr>
      </w:pPr>
    </w:p>
    <w:p>
      <w:pPr>
        <w:keepNext/>
        <w:spacing w:line="400" w:lineRule="exact"/>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响应文件格式</w:t>
      </w:r>
    </w:p>
    <w:p>
      <w:pPr>
        <w:rPr>
          <w:rFonts w:ascii="宋体" w:hAnsi="宋体" w:eastAsia="宋体" w:cs="宋体"/>
          <w:color w:val="auto"/>
          <w:sz w:val="24"/>
          <w:highlight w:val="none"/>
        </w:rPr>
      </w:pPr>
      <w:r>
        <w:rPr>
          <w:rFonts w:hint="eastAsia" w:ascii="宋体" w:hAnsi="宋体" w:eastAsia="宋体" w:cs="宋体"/>
          <w:color w:val="auto"/>
          <w:sz w:val="24"/>
          <w:highlight w:val="none"/>
        </w:rPr>
        <w:t>（用于响应文件封面）</w:t>
      </w:r>
    </w:p>
    <w:p>
      <w:pPr>
        <w:rPr>
          <w:rFonts w:ascii="宋体" w:hAnsi="宋体" w:eastAsia="宋体" w:cs="宋体"/>
          <w:color w:val="auto"/>
          <w:sz w:val="28"/>
          <w:highlight w:val="none"/>
        </w:rPr>
      </w:pPr>
    </w:p>
    <w:p>
      <w:pPr>
        <w:wordWrap w:val="0"/>
        <w:rPr>
          <w:b/>
          <w:color w:val="auto"/>
          <w:sz w:val="32"/>
          <w:szCs w:val="32"/>
          <w:highlight w:val="none"/>
        </w:rPr>
      </w:pPr>
      <w:r>
        <w:rPr>
          <w:rFonts w:hint="eastAsia"/>
          <w:b/>
          <w:color w:val="auto"/>
          <w:sz w:val="32"/>
          <w:szCs w:val="32"/>
          <w:highlight w:val="none"/>
        </w:rPr>
        <w:t>一、报价文件格式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1.报价文件封面格式：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jc w:val="center"/>
        <w:rPr>
          <w:rFonts w:ascii="宋体" w:hAnsi="宋体"/>
          <w:bCs/>
          <w:color w:val="auto"/>
          <w:sz w:val="24"/>
          <w:szCs w:val="20"/>
          <w:highlight w:val="none"/>
        </w:rPr>
      </w:pPr>
      <w:r>
        <w:rPr>
          <w:rFonts w:hint="eastAsia" w:ascii="宋体" w:hAnsi="宋体"/>
          <w:bCs/>
          <w:color w:val="auto"/>
          <w:sz w:val="24"/>
          <w:szCs w:val="20"/>
          <w:highlight w:val="none"/>
        </w:rPr>
        <w:t>正/副本</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2"/>
        <w:wordWrap w:val="0"/>
        <w:spacing w:before="50" w:after="50"/>
        <w:ind w:firstLine="0"/>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both"/>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2.报价文件目录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center"/>
        <w:rPr>
          <w:rFonts w:ascii="宋体" w:hAnsi="宋体" w:eastAsia="宋体" w:cs="宋体"/>
          <w:b/>
          <w:color w:val="auto"/>
          <w:sz w:val="30"/>
          <w:szCs w:val="30"/>
          <w:highlight w:val="none"/>
        </w:rPr>
      </w:pPr>
    </w:p>
    <w:p>
      <w:pPr>
        <w:jc w:val="both"/>
        <w:rPr>
          <w:rFonts w:ascii="宋体" w:hAnsi="宋体" w:eastAsia="宋体" w:cs="宋体"/>
          <w:b/>
          <w:bCs/>
          <w:color w:val="auto"/>
          <w:sz w:val="28"/>
          <w:szCs w:val="28"/>
          <w:highlight w:val="none"/>
        </w:rPr>
      </w:pPr>
    </w:p>
    <w:p>
      <w:pPr>
        <w:jc w:val="center"/>
        <w:rPr>
          <w:rFonts w:ascii="宋体" w:hAnsi="宋体" w:eastAsia="宋体" w:cs="宋体"/>
          <w:b/>
          <w:color w:val="auto"/>
          <w:sz w:val="28"/>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28"/>
          <w:highlight w:val="none"/>
        </w:rPr>
        <w:t>竞标函</w:t>
      </w:r>
      <w:r>
        <w:rPr>
          <w:rFonts w:hint="eastAsia" w:ascii="宋体" w:hAnsi="宋体" w:eastAsia="宋体" w:cs="宋体"/>
          <w:b/>
          <w:color w:val="auto"/>
          <w:sz w:val="24"/>
          <w:highlight w:val="none"/>
        </w:rPr>
        <w:t>（格式）</w:t>
      </w:r>
    </w:p>
    <w:p>
      <w:pPr>
        <w:spacing w:line="440" w:lineRule="exact"/>
        <w:rPr>
          <w:rFonts w:ascii="宋体" w:hAnsi="宋体" w:eastAsia="宋体" w:cs="宋体"/>
          <w:b/>
          <w:color w:val="auto"/>
          <w:sz w:val="24"/>
          <w:highlight w:val="none"/>
          <w:u w:val="single"/>
        </w:rPr>
      </w:pPr>
      <w:r>
        <w:rPr>
          <w:rFonts w:hint="eastAsia" w:ascii="宋体" w:hAnsi="宋体" w:eastAsia="宋体" w:cs="宋体"/>
          <w:bCs/>
          <w:color w:val="auto"/>
          <w:sz w:val="24"/>
          <w:highlight w:val="none"/>
          <w:u w:val="single"/>
        </w:rPr>
        <w:t>致</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rPr>
        <w:t>(采购人)：</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项目的竞争性谈判公告（项目编号：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），签字代表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（全名） 经正式授权并代表供应商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（供应商名称）提交响应文件，正本 </w:t>
      </w:r>
      <w:r>
        <w:rPr>
          <w:rFonts w:hint="eastAsia" w:ascii="宋体" w:hAnsi="宋体" w:eastAsia="宋体" w:cs="宋体"/>
          <w:color w:val="auto"/>
          <w:sz w:val="24"/>
          <w:highlight w:val="none"/>
          <w:lang w:eastAsia="zh-CN"/>
        </w:rPr>
        <w:t>壹</w:t>
      </w:r>
      <w:r>
        <w:rPr>
          <w:rFonts w:hint="eastAsia" w:ascii="宋体" w:hAnsi="宋体" w:eastAsia="宋体" w:cs="宋体"/>
          <w:color w:val="auto"/>
          <w:sz w:val="24"/>
          <w:highlight w:val="none"/>
        </w:rPr>
        <w:t>份、副本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eastAsia="zh-CN"/>
        </w:rPr>
        <w:t>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 供应商已详细审查全部“谈判文件”，包括修改文件（如有的话）以及全部参考资料和有关附件，已经了解我方对于谈判文件、采购过程、采购结果有依法进行询问、质疑、投诉的权利及相关渠道和要求。</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 供应商在参与竞争性谈判之前已经与贵方进行了充分的沟通，完全理解并接受响应文件的各项规定和要求，对响应文件的合理性、合法性不再有异议。</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 本竞标有效期自开标日起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 如成交，本响应文件至本项目合同履行完毕止均保持有效，本供应商将按“谈判文件”及政府采购法律、法规的规定履行合同责任和义务。</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 供应商同意本谈判文件中 “ 竞标 报价表 ” 和成交后签订的采购合同可用于公示，其中所有内容不涉及 竞 标人商业秘密。</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6. 供应商同意按照贵方要求提供与投标有关的一切数据或资料。</w:t>
      </w:r>
    </w:p>
    <w:p>
      <w:pPr>
        <w:spacing w:line="44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7. 与本竞标有关的一切正式往来信函请寄：</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（单位名称并加盖公章）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邮编：</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传真：</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或授权委托人：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 </w:t>
      </w:r>
    </w:p>
    <w:p>
      <w:pPr>
        <w:tabs>
          <w:tab w:val="left" w:pos="3479"/>
        </w:tabs>
        <w:wordWrap w:val="0"/>
        <w:spacing w:line="520" w:lineRule="exact"/>
        <w:jc w:val="center"/>
        <w:rPr>
          <w:rFonts w:ascii="方正小标宋简体" w:hAnsi="方正小标宋简体" w:eastAsia="方正小标宋简体" w:cs="方正小标宋简体"/>
          <w:bCs/>
          <w:color w:val="auto"/>
          <w:sz w:val="44"/>
          <w:szCs w:val="44"/>
          <w:highlight w:val="none"/>
        </w:rPr>
      </w:pPr>
    </w:p>
    <w:p>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竞标报价表（格式）</w:t>
      </w:r>
    </w:p>
    <w:p>
      <w:pP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eastAsia="zh-CN"/>
        </w:rPr>
        <w:t>表</w:t>
      </w:r>
      <w:r>
        <w:rPr>
          <w:rFonts w:hint="eastAsia" w:ascii="宋体" w:hAnsi="宋体" w:eastAsia="宋体" w:cs="宋体"/>
          <w:b/>
          <w:color w:val="auto"/>
          <w:sz w:val="21"/>
          <w:szCs w:val="21"/>
          <w:highlight w:val="none"/>
          <w:lang w:val="en-US" w:eastAsia="zh-CN"/>
        </w:rPr>
        <w:t>1：核心设备竞标报价表</w:t>
      </w:r>
    </w:p>
    <w:tbl>
      <w:tblPr>
        <w:tblStyle w:val="21"/>
        <w:tblW w:w="9648" w:type="dxa"/>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0"/>
        <w:gridCol w:w="1630"/>
        <w:gridCol w:w="693"/>
        <w:gridCol w:w="562"/>
        <w:gridCol w:w="430"/>
        <w:gridCol w:w="431"/>
        <w:gridCol w:w="1136"/>
        <w:gridCol w:w="1136"/>
        <w:gridCol w:w="3200"/>
      </w:tblGrid>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项号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标的名称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品牌型号</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制造商</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数量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单价（元）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总价（元）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备注</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中医四诊仪</w:t>
            </w:r>
            <w:r>
              <w:rPr>
                <w:rFonts w:hint="eastAsia" w:ascii="宋体" w:hAnsi="宋体" w:eastAsia="宋体" w:cs="宋体"/>
                <w:kern w:val="0"/>
                <w:sz w:val="24"/>
                <w:szCs w:val="24"/>
                <w:lang w:val="en-US" w:eastAsia="zh-CN" w:bidi="ar"/>
              </w:rPr>
              <w:t>（含软件）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center"/>
              <w:rPr>
                <w:rFonts w:hint="eastAsia" w:ascii="宋体" w:eastAsia="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center"/>
              <w:rPr>
                <w:rFonts w:hint="eastAsia" w:ascii="宋体" w:eastAsia="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hint="eastAsia" w:ascii="宋体" w:eastAsia="宋体"/>
                <w:sz w:val="24"/>
                <w:lang w:eastAsia="zh-CN"/>
              </w:rPr>
            </w:pPr>
            <w:r>
              <w:rPr>
                <w:rFonts w:hint="eastAsia" w:ascii="宋体" w:eastAsia="宋体"/>
                <w:sz w:val="24"/>
                <w:lang w:eastAsia="zh-CN"/>
              </w:rPr>
              <w:t>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right"/>
              <w:rPr>
                <w:rFonts w:hint="eastAsia" w:ascii="宋体" w:eastAsia="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right"/>
              <w:rPr>
                <w:rFonts w:hint="eastAsia" w:ascii="宋体" w:eastAsia="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含主机、采集器等所有硬件</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含8大核心子系统</w:t>
            </w:r>
            <w:r>
              <w:rPr>
                <w:rFonts w:hint="eastAsia" w:ascii="宋体" w:hAnsi="宋体" w:eastAsia="宋体" w:cs="宋体"/>
                <w:kern w:val="0"/>
                <w:sz w:val="24"/>
                <w:szCs w:val="24"/>
                <w:lang w:val="en-US" w:eastAsia="zh-CN" w:bidi="ar"/>
              </w:rPr>
              <w:t>）</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pPr>
            <w:r>
              <w:rPr>
                <w:rFonts w:ascii="宋体" w:hAnsi="宋体" w:eastAsia="宋体" w:cs="宋体"/>
                <w:kern w:val="0"/>
                <w:sz w:val="24"/>
                <w:szCs w:val="24"/>
                <w:lang w:val="en-US" w:eastAsia="zh-CN" w:bidi="ar"/>
              </w:rPr>
              <w:t>核心报价合计</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0" w:leftChars="0" w:right="0" w:rightChars="0" w:firstLine="0" w:firstLineChars="0"/>
              <w:jc w:val="center"/>
              <w:rPr>
                <w:rFonts w:hint="eastAsia" w:ascii="宋体"/>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pPr>
            <w:r>
              <w:rPr>
                <w:rFonts w:ascii="宋体" w:hAnsi="宋体" w:eastAsia="宋体" w:cs="宋体"/>
                <w:kern w:val="0"/>
                <w:sz w:val="24"/>
                <w:szCs w:val="24"/>
                <w:lang w:val="en-US" w:eastAsia="zh-CN" w:bidi="ar"/>
              </w:rPr>
              <w:t>硬件+软件的基础总报价</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0" w:type="auto"/>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ind w:left="0" w:leftChars="0" w:right="0" w:rightChars="0" w:firstLine="0" w:firstLineChars="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填表说明：1、</w:t>
            </w:r>
            <w:r>
              <w:rPr>
                <w:rFonts w:hint="default" w:ascii="宋体" w:hAnsi="宋体" w:eastAsia="宋体" w:cs="宋体"/>
                <w:kern w:val="0"/>
                <w:sz w:val="24"/>
                <w:szCs w:val="24"/>
                <w:lang w:val="en-US" w:eastAsia="zh-CN" w:bidi="ar"/>
              </w:rPr>
              <w:t>“品牌、制造商、型号”需如实填写，无则填“无”；</w:t>
            </w:r>
            <w:r>
              <w:rPr>
                <w:rFonts w:hint="eastAsia" w:ascii="宋体" w:hAnsi="宋体" w:eastAsia="宋体" w:cs="宋体"/>
                <w:kern w:val="0"/>
                <w:sz w:val="24"/>
                <w:szCs w:val="24"/>
                <w:lang w:val="en-US" w:eastAsia="zh-CN" w:bidi="ar"/>
              </w:rPr>
              <w:t>2、</w:t>
            </w:r>
            <w:r>
              <w:rPr>
                <w:rFonts w:hint="default" w:ascii="宋体" w:hAnsi="宋体" w:eastAsia="宋体" w:cs="宋体"/>
                <w:kern w:val="0"/>
                <w:sz w:val="24"/>
                <w:szCs w:val="24"/>
                <w:lang w:val="en-US" w:eastAsia="zh-CN" w:bidi="ar"/>
              </w:rPr>
              <w:t>“核心报价合计”为硬件</w:t>
            </w:r>
            <w:r>
              <w:rPr>
                <w:rFonts w:hint="eastAsia" w:ascii="宋体" w:hAnsi="宋体" w:eastAsia="宋体" w:cs="宋体"/>
                <w:kern w:val="0"/>
                <w:sz w:val="24"/>
                <w:szCs w:val="24"/>
                <w:lang w:val="en-US" w:eastAsia="zh-CN" w:bidi="ar"/>
              </w:rPr>
              <w:t xml:space="preserve"> </w:t>
            </w:r>
            <w:r>
              <w:rPr>
                <w:rFonts w:hint="default"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 xml:space="preserve"> </w:t>
            </w:r>
            <w:r>
              <w:rPr>
                <w:rFonts w:hint="default" w:ascii="宋体" w:hAnsi="宋体" w:eastAsia="宋体" w:cs="宋体"/>
                <w:kern w:val="0"/>
                <w:sz w:val="24"/>
                <w:szCs w:val="24"/>
                <w:lang w:val="en-US" w:eastAsia="zh-CN" w:bidi="ar"/>
              </w:rPr>
              <w:t xml:space="preserve">软件总价，需与表 </w:t>
            </w:r>
            <w:r>
              <w:rPr>
                <w:rFonts w:hint="eastAsia" w:ascii="宋体" w:hAnsi="宋体" w:eastAsia="宋体" w:cs="宋体"/>
                <w:kern w:val="0"/>
                <w:sz w:val="24"/>
                <w:szCs w:val="24"/>
                <w:lang w:val="en-US" w:eastAsia="zh-CN" w:bidi="ar"/>
              </w:rPr>
              <w:t>3</w:t>
            </w:r>
            <w:r>
              <w:rPr>
                <w:rFonts w:hint="default" w:ascii="宋体" w:hAnsi="宋体" w:eastAsia="宋体" w:cs="宋体"/>
                <w:kern w:val="0"/>
                <w:sz w:val="24"/>
                <w:szCs w:val="24"/>
                <w:lang w:val="en-US" w:eastAsia="zh-CN" w:bidi="ar"/>
              </w:rPr>
              <w:t xml:space="preserve"> 对应金额一致；</w:t>
            </w:r>
            <w:r>
              <w:rPr>
                <w:rFonts w:hint="eastAsia" w:ascii="宋体" w:hAnsi="宋体" w:eastAsia="宋体" w:cs="宋体"/>
                <w:kern w:val="0"/>
                <w:sz w:val="24"/>
                <w:szCs w:val="24"/>
                <w:lang w:val="en-US" w:eastAsia="zh-CN" w:bidi="ar"/>
              </w:rPr>
              <w:t>3、</w:t>
            </w:r>
            <w:r>
              <w:rPr>
                <w:rFonts w:hint="default" w:ascii="宋体" w:hAnsi="宋体" w:eastAsia="宋体" w:cs="宋体"/>
                <w:kern w:val="0"/>
                <w:sz w:val="24"/>
                <w:szCs w:val="24"/>
                <w:lang w:val="en-US" w:eastAsia="zh-CN" w:bidi="ar"/>
              </w:rPr>
              <w:t>单价、总价需填写含税</w:t>
            </w:r>
            <w:r>
              <w:rPr>
                <w:rFonts w:hint="eastAsia" w:ascii="宋体" w:hAnsi="宋体" w:eastAsia="宋体" w:cs="宋体"/>
                <w:kern w:val="0"/>
                <w:sz w:val="24"/>
                <w:szCs w:val="24"/>
                <w:lang w:val="en-US" w:eastAsia="zh-CN" w:bidi="ar"/>
              </w:rPr>
              <w:t>及本项目所产生的一切费用</w:t>
            </w:r>
            <w:r>
              <w:rPr>
                <w:rFonts w:hint="default" w:ascii="宋体" w:hAnsi="宋体" w:eastAsia="宋体" w:cs="宋体"/>
                <w:kern w:val="0"/>
                <w:sz w:val="24"/>
                <w:szCs w:val="24"/>
                <w:lang w:val="en-US" w:eastAsia="zh-CN" w:bidi="ar"/>
              </w:rPr>
              <w:t>。</w:t>
            </w:r>
          </w:p>
        </w:tc>
      </w:tr>
    </w:tbl>
    <w:p>
      <w:pPr>
        <w:rPr>
          <w:rFonts w:hint="default"/>
          <w:lang w:val="en-US" w:eastAsia="zh-CN"/>
        </w:rPr>
      </w:pPr>
    </w:p>
    <w:p>
      <w:pPr>
        <w:rPr>
          <w:rFonts w:hint="default"/>
          <w:sz w:val="24"/>
          <w:szCs w:val="24"/>
          <w:lang w:val="en-US" w:eastAsia="zh-CN"/>
        </w:rPr>
      </w:pPr>
      <w:r>
        <w:rPr>
          <w:rFonts w:hint="default"/>
          <w:lang w:val="en-US" w:eastAsia="zh-CN"/>
        </w:rPr>
        <w:t>表 2：</w:t>
      </w:r>
      <w:r>
        <w:rPr>
          <w:rFonts w:hint="default"/>
          <w:sz w:val="24"/>
          <w:szCs w:val="24"/>
          <w:lang w:val="en-US" w:eastAsia="zh-CN"/>
        </w:rPr>
        <w:t>免费维护期结束后每年的维护内容和维护费</w:t>
      </w:r>
      <w:r>
        <w:rPr>
          <w:rFonts w:hint="eastAsia"/>
          <w:sz w:val="24"/>
          <w:szCs w:val="24"/>
          <w:lang w:val="en-US" w:eastAsia="zh-CN"/>
        </w:rPr>
        <w:t>报价表</w:t>
      </w:r>
    </w:p>
    <w:tbl>
      <w:tblPr>
        <w:tblStyle w:val="21"/>
        <w:tblW w:w="9648" w:type="dxa"/>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1"/>
        <w:gridCol w:w="719"/>
        <w:gridCol w:w="750"/>
        <w:gridCol w:w="4169"/>
        <w:gridCol w:w="1798"/>
        <w:gridCol w:w="1961"/>
      </w:tblGrid>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center"/>
              <w:rPr>
                <w:rFonts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spacing w:val="0"/>
                <w:kern w:val="0"/>
                <w:sz w:val="24"/>
                <w:szCs w:val="24"/>
                <w:lang w:val="en-US" w:eastAsia="zh-CN" w:bidi="ar"/>
              </w:rPr>
              <w:t>项号</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spacing w:val="0"/>
                <w:kern w:val="0"/>
                <w:sz w:val="24"/>
                <w:szCs w:val="24"/>
                <w:lang w:val="en-US" w:eastAsia="zh-CN" w:bidi="ar"/>
              </w:rPr>
              <w:t>服务</w:t>
            </w:r>
            <w:r>
              <w:rPr>
                <w:rFonts w:hint="eastAsia" w:ascii="Segoe UI" w:hAnsi="Segoe UI" w:eastAsia="Segoe UI" w:cs="Segoe UI"/>
                <w:b/>
                <w:bCs/>
                <w:i w:val="0"/>
                <w:iCs w:val="0"/>
                <w:caps w:val="0"/>
                <w:spacing w:val="0"/>
                <w:kern w:val="0"/>
                <w:sz w:val="24"/>
                <w:szCs w:val="24"/>
                <w:lang w:val="en-US" w:eastAsia="zh-CN" w:bidi="ar"/>
              </w:rPr>
              <w:t>名称</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spacing w:val="0"/>
                <w:kern w:val="0"/>
                <w:sz w:val="24"/>
                <w:szCs w:val="24"/>
                <w:lang w:val="en-US" w:eastAsia="zh-CN" w:bidi="ar"/>
              </w:rPr>
              <w:t>服务期限</w:t>
            </w:r>
          </w:p>
        </w:tc>
        <w:tc>
          <w:tcPr>
            <w:tcW w:w="41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spacing w:val="0"/>
                <w:kern w:val="0"/>
                <w:sz w:val="24"/>
                <w:szCs w:val="24"/>
                <w:lang w:val="en-US" w:eastAsia="zh-CN" w:bidi="ar"/>
              </w:rPr>
              <w:t>服务内容（默认包含）</w:t>
            </w: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eastAsia" w:ascii="Segoe UI" w:hAnsi="Segoe UI" w:eastAsia="Segoe UI" w:cs="Segoe UI"/>
                <w:b/>
                <w:bCs/>
                <w:i w:val="0"/>
                <w:iCs w:val="0"/>
                <w:caps w:val="0"/>
                <w:spacing w:val="0"/>
                <w:kern w:val="0"/>
                <w:sz w:val="24"/>
                <w:szCs w:val="24"/>
                <w:lang w:val="en-US" w:eastAsia="zh-CN" w:bidi="ar"/>
              </w:rPr>
              <w:t>维护报价（%）</w:t>
            </w:r>
          </w:p>
        </w:tc>
        <w:tc>
          <w:tcPr>
            <w:tcW w:w="19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spacing w:val="0"/>
                <w:kern w:val="0"/>
                <w:sz w:val="24"/>
                <w:szCs w:val="24"/>
                <w:lang w:val="en-US" w:eastAsia="zh-CN" w:bidi="ar"/>
              </w:rPr>
              <w:t>备注</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295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spacing w:val="0"/>
                <w:kern w:val="0"/>
                <w:sz w:val="24"/>
                <w:szCs w:val="24"/>
                <w:lang w:val="en-US" w:eastAsia="zh-CN" w:bidi="ar"/>
              </w:rPr>
              <w:t>1</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spacing w:val="0"/>
                <w:kern w:val="0"/>
                <w:sz w:val="24"/>
                <w:szCs w:val="24"/>
                <w:lang w:val="en-US" w:eastAsia="zh-CN" w:bidi="ar"/>
              </w:rPr>
              <w:t>质保</w:t>
            </w:r>
            <w:r>
              <w:rPr>
                <w:rFonts w:hint="eastAsia" w:ascii="Segoe UI" w:hAnsi="Segoe UI" w:eastAsia="Segoe UI" w:cs="Segoe UI"/>
                <w:i w:val="0"/>
                <w:iCs w:val="0"/>
                <w:caps w:val="0"/>
                <w:spacing w:val="0"/>
                <w:kern w:val="0"/>
                <w:sz w:val="24"/>
                <w:szCs w:val="24"/>
                <w:lang w:val="en-US" w:eastAsia="zh-CN" w:bidi="ar"/>
              </w:rPr>
              <w:t>期结束</w:t>
            </w:r>
            <w:r>
              <w:rPr>
                <w:rFonts w:hint="default" w:ascii="Segoe UI" w:hAnsi="Segoe UI" w:eastAsia="Segoe UI" w:cs="Segoe UI"/>
                <w:i w:val="0"/>
                <w:iCs w:val="0"/>
                <w:caps w:val="0"/>
                <w:spacing w:val="0"/>
                <w:kern w:val="0"/>
                <w:sz w:val="24"/>
                <w:szCs w:val="24"/>
                <w:lang w:val="en-US" w:eastAsia="zh-CN" w:bidi="ar"/>
              </w:rPr>
              <w:t>后</w:t>
            </w:r>
            <w:r>
              <w:rPr>
                <w:rFonts w:hint="eastAsia" w:ascii="Segoe UI" w:hAnsi="Segoe UI" w:eastAsia="Segoe UI" w:cs="Segoe UI"/>
                <w:i w:val="0"/>
                <w:iCs w:val="0"/>
                <w:caps w:val="0"/>
                <w:spacing w:val="0"/>
                <w:kern w:val="0"/>
                <w:sz w:val="24"/>
                <w:szCs w:val="24"/>
                <w:lang w:val="en-US" w:eastAsia="zh-CN" w:bidi="ar"/>
              </w:rPr>
              <w:t>维护费</w:t>
            </w:r>
          </w:p>
        </w:tc>
        <w:tc>
          <w:tcPr>
            <w:tcW w:w="7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lang w:eastAsia="zh-CN"/>
              </w:rPr>
            </w:pPr>
            <w:r>
              <w:rPr>
                <w:rFonts w:hint="default"/>
              </w:rPr>
              <w:sym w:font="Wingdings" w:char="00A8"/>
            </w:r>
            <w:r>
              <w:rPr>
                <w:rFonts w:hint="eastAsia"/>
                <w:lang w:eastAsia="zh-CN"/>
              </w:rPr>
              <w:t>终生免费</w:t>
            </w:r>
          </w:p>
          <w:p>
            <w:pPr>
              <w:pStyle w:val="2"/>
              <w:rPr>
                <w:rFonts w:hint="eastAsia"/>
                <w:lang w:eastAsia="zh-CN"/>
              </w:rPr>
            </w:pPr>
          </w:p>
          <w:p>
            <w:pPr>
              <w:keepNext w:val="0"/>
              <w:keepLines w:val="0"/>
              <w:widowControl/>
              <w:suppressLineNumbers w:val="0"/>
              <w:spacing w:before="0" w:beforeAutospacing="0" w:after="0" w:afterAutospacing="0"/>
              <w:ind w:left="0" w:leftChars="0" w:right="0" w:rightChars="0" w:firstLine="0" w:firstLineChars="0"/>
              <w:jc w:val="left"/>
              <w:rPr>
                <w:rFonts w:hint="default"/>
              </w:rPr>
            </w:pPr>
            <w:r>
              <w:rPr>
                <w:rFonts w:hint="default" w:ascii="Segoe UI" w:hAnsi="Segoe UI" w:eastAsia="Segoe UI" w:cs="Segoe UI"/>
                <w:i w:val="0"/>
                <w:iCs w:val="0"/>
                <w:caps w:val="0"/>
                <w:spacing w:val="0"/>
                <w:kern w:val="0"/>
                <w:sz w:val="24"/>
                <w:szCs w:val="24"/>
                <w:lang w:val="en-US" w:eastAsia="zh-CN" w:bidi="ar"/>
              </w:rPr>
              <w:sym w:font="Wingdings" w:char="00A8"/>
            </w:r>
            <w:r>
              <w:rPr>
                <w:rFonts w:hint="default" w:ascii="Segoe UI" w:hAnsi="Segoe UI" w:eastAsia="Segoe UI" w:cs="Segoe UI"/>
                <w:i w:val="0"/>
                <w:iCs w:val="0"/>
                <w:caps w:val="0"/>
                <w:spacing w:val="0"/>
                <w:kern w:val="0"/>
                <w:sz w:val="24"/>
                <w:szCs w:val="24"/>
                <w:lang w:val="en-US" w:eastAsia="zh-CN" w:bidi="ar"/>
              </w:rPr>
              <w:t>年度付</w:t>
            </w:r>
            <w:r>
              <w:rPr>
                <w:rFonts w:hint="eastAsia" w:ascii="Segoe UI" w:hAnsi="Segoe UI" w:eastAsia="Segoe UI" w:cs="Segoe UI"/>
                <w:i w:val="0"/>
                <w:iCs w:val="0"/>
                <w:caps w:val="0"/>
                <w:spacing w:val="0"/>
                <w:kern w:val="0"/>
                <w:sz w:val="24"/>
                <w:szCs w:val="24"/>
                <w:lang w:val="en-US" w:eastAsia="zh-CN" w:bidi="ar"/>
              </w:rPr>
              <w:t>费</w:t>
            </w:r>
          </w:p>
        </w:tc>
        <w:tc>
          <w:tcPr>
            <w:tcW w:w="41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numPr>
                <w:ilvl w:val="0"/>
                <w:numId w:val="4"/>
              </w:numPr>
              <w:suppressLineNumbers w:val="0"/>
              <w:spacing w:before="0" w:beforeAutospacing="0" w:after="0" w:afterAutospacing="0"/>
              <w:ind w:left="0" w:leftChars="0" w:right="0" w:rightChars="0" w:firstLine="0" w:firstLineChars="0"/>
              <w:jc w:val="left"/>
              <w:rPr>
                <w:rFonts w:hint="eastAsia" w:ascii="Segoe UI" w:hAnsi="Segoe UI" w:eastAsia="宋体" w:cs="Segoe UI"/>
                <w:i w:val="0"/>
                <w:iCs w:val="0"/>
                <w:caps w:val="0"/>
                <w:color w:val="000000"/>
                <w:spacing w:val="0"/>
                <w:sz w:val="24"/>
                <w:szCs w:val="24"/>
                <w:lang w:eastAsia="zh-CN"/>
              </w:rPr>
            </w:pPr>
            <w:r>
              <w:rPr>
                <w:rFonts w:hint="eastAsia" w:ascii="Segoe UI" w:hAnsi="Segoe UI" w:eastAsia="宋体" w:cs="Segoe UI"/>
                <w:i w:val="0"/>
                <w:iCs w:val="0"/>
                <w:caps w:val="0"/>
                <w:color w:val="000000"/>
                <w:spacing w:val="0"/>
                <w:sz w:val="24"/>
                <w:szCs w:val="24"/>
                <w:lang w:eastAsia="zh-CN"/>
              </w:rPr>
              <w:t>软件维护</w:t>
            </w:r>
            <w:r>
              <w:rPr>
                <w:rFonts w:hint="eastAsia" w:ascii="Segoe UI" w:hAnsi="Segoe UI" w:eastAsia="宋体" w:cs="Segoe UI"/>
                <w:i w:val="0"/>
                <w:iCs w:val="0"/>
                <w:caps w:val="0"/>
                <w:color w:val="000000"/>
                <w:spacing w:val="0"/>
                <w:sz w:val="24"/>
                <w:szCs w:val="24"/>
                <w:lang w:val="en-US" w:eastAsia="zh-CN"/>
              </w:rPr>
              <w:t>/升级</w:t>
            </w:r>
            <w:r>
              <w:rPr>
                <w:rFonts w:hint="eastAsia" w:ascii="Segoe UI" w:hAnsi="Segoe UI" w:eastAsia="宋体" w:cs="Segoe UI"/>
                <w:i w:val="0"/>
                <w:iCs w:val="0"/>
                <w:caps w:val="0"/>
                <w:color w:val="000000"/>
                <w:spacing w:val="0"/>
                <w:sz w:val="24"/>
                <w:szCs w:val="24"/>
                <w:lang w:eastAsia="zh-CN"/>
              </w:rPr>
              <w:t>：</w:t>
            </w:r>
            <w:r>
              <w:rPr>
                <w:rFonts w:ascii="Segoe UI" w:hAnsi="Segoe UI" w:eastAsia="Segoe UI" w:cs="Segoe UI"/>
                <w:i w:val="0"/>
                <w:iCs w:val="0"/>
                <w:caps w:val="0"/>
                <w:spacing w:val="0"/>
                <w:sz w:val="24"/>
                <w:szCs w:val="24"/>
                <w:shd w:val="clear" w:fill="FFFFFF"/>
              </w:rPr>
              <w:t>功能迭代、bug 修复、数据接口优化、医院系统兼容适配</w:t>
            </w:r>
            <w:r>
              <w:rPr>
                <w:rFonts w:hint="eastAsia" w:ascii="Segoe UI" w:hAnsi="Segoe UI" w:eastAsia="宋体" w:cs="Segoe UI"/>
                <w:i w:val="0"/>
                <w:iCs w:val="0"/>
                <w:caps w:val="0"/>
                <w:spacing w:val="0"/>
                <w:sz w:val="24"/>
                <w:szCs w:val="24"/>
                <w:shd w:val="clear" w:fill="FFFFFF"/>
                <w:lang w:val="en-US" w:eastAsia="zh-CN"/>
              </w:rPr>
              <w:t>;</w:t>
            </w:r>
          </w:p>
          <w:p>
            <w:pPr>
              <w:keepNext w:val="0"/>
              <w:keepLines w:val="0"/>
              <w:widowControl/>
              <w:numPr>
                <w:ilvl w:val="0"/>
                <w:numId w:val="4"/>
              </w:numPr>
              <w:suppressLineNumbers w:val="0"/>
              <w:spacing w:before="0" w:beforeAutospacing="0" w:after="0" w:afterAutospacing="0"/>
              <w:ind w:left="0" w:leftChars="0" w:right="0" w:rightChars="0" w:firstLine="0" w:firstLineChars="0"/>
              <w:jc w:val="left"/>
              <w:rPr>
                <w:rFonts w:hint="eastAsia" w:ascii="Segoe UI" w:hAnsi="Segoe UI" w:eastAsia="宋体" w:cs="Segoe UI"/>
                <w:i w:val="0"/>
                <w:iCs w:val="0"/>
                <w:caps w:val="0"/>
                <w:color w:val="000000"/>
                <w:spacing w:val="0"/>
                <w:sz w:val="24"/>
                <w:szCs w:val="24"/>
                <w:lang w:eastAsia="zh-CN"/>
              </w:rPr>
            </w:pPr>
            <w:r>
              <w:rPr>
                <w:rFonts w:hint="eastAsia" w:ascii="Segoe UI" w:hAnsi="Segoe UI" w:eastAsia="宋体" w:cs="Segoe UI"/>
                <w:i w:val="0"/>
                <w:iCs w:val="0"/>
                <w:caps w:val="0"/>
                <w:color w:val="000000"/>
                <w:spacing w:val="0"/>
                <w:sz w:val="24"/>
                <w:szCs w:val="24"/>
                <w:lang w:eastAsia="zh-CN"/>
              </w:rPr>
              <w:t>数据维护：数据备份、异常数据修复；</w:t>
            </w:r>
          </w:p>
          <w:p>
            <w:pPr>
              <w:keepNext w:val="0"/>
              <w:keepLines w:val="0"/>
              <w:widowControl/>
              <w:numPr>
                <w:ilvl w:val="0"/>
                <w:numId w:val="4"/>
              </w:numPr>
              <w:suppressLineNumbers w:val="0"/>
              <w:spacing w:before="0" w:beforeAutospacing="0" w:after="0" w:afterAutospacing="0"/>
              <w:ind w:left="0" w:leftChars="0" w:right="0" w:rightChars="0" w:firstLine="0" w:firstLineChars="0"/>
              <w:jc w:val="left"/>
              <w:rPr>
                <w:rFonts w:hint="eastAsia" w:ascii="Segoe UI" w:hAnsi="Segoe UI" w:eastAsia="宋体" w:cs="Segoe UI"/>
                <w:i w:val="0"/>
                <w:iCs w:val="0"/>
                <w:caps w:val="0"/>
                <w:color w:val="000000"/>
                <w:spacing w:val="0"/>
                <w:sz w:val="24"/>
                <w:szCs w:val="24"/>
                <w:lang w:eastAsia="zh-CN"/>
              </w:rPr>
            </w:pPr>
            <w:r>
              <w:rPr>
                <w:rFonts w:hint="eastAsia" w:ascii="Segoe UI" w:hAnsi="Segoe UI" w:eastAsia="宋体" w:cs="Segoe UI"/>
                <w:i w:val="0"/>
                <w:iCs w:val="0"/>
                <w:caps w:val="0"/>
                <w:color w:val="000000"/>
                <w:spacing w:val="0"/>
                <w:sz w:val="24"/>
                <w:szCs w:val="24"/>
                <w:lang w:eastAsia="zh-CN"/>
              </w:rPr>
              <w:t>技术支持：7×12小时电话/远程咨询；</w:t>
            </w:r>
          </w:p>
          <w:p>
            <w:pPr>
              <w:keepNext w:val="0"/>
              <w:keepLines w:val="0"/>
              <w:widowControl/>
              <w:numPr>
                <w:ilvl w:val="0"/>
                <w:numId w:val="4"/>
              </w:numPr>
              <w:suppressLineNumbers w:val="0"/>
              <w:spacing w:before="0" w:beforeAutospacing="0" w:after="0" w:afterAutospacing="0"/>
              <w:ind w:left="0" w:leftChars="0" w:right="0" w:rightChars="0" w:firstLine="0" w:firstLineChars="0"/>
              <w:jc w:val="left"/>
              <w:rPr>
                <w:rFonts w:hint="eastAsia" w:ascii="Segoe UI" w:hAnsi="Segoe UI" w:eastAsia="宋体" w:cs="Segoe UI"/>
                <w:i w:val="0"/>
                <w:iCs w:val="0"/>
                <w:caps w:val="0"/>
                <w:color w:val="000000"/>
                <w:spacing w:val="0"/>
                <w:sz w:val="24"/>
                <w:szCs w:val="24"/>
                <w:lang w:eastAsia="zh-CN"/>
              </w:rPr>
            </w:pPr>
            <w:r>
              <w:rPr>
                <w:rFonts w:hint="eastAsia" w:ascii="Segoe UI" w:hAnsi="Segoe UI" w:eastAsia="宋体" w:cs="Segoe UI"/>
                <w:i w:val="0"/>
                <w:iCs w:val="0"/>
                <w:caps w:val="0"/>
                <w:color w:val="000000"/>
                <w:spacing w:val="0"/>
                <w:sz w:val="24"/>
                <w:szCs w:val="24"/>
                <w:lang w:eastAsia="zh-CN"/>
              </w:rPr>
              <w:t>系统安全维护：漏洞修复、安全补丁更新；</w:t>
            </w:r>
          </w:p>
          <w:p>
            <w:pPr>
              <w:pStyle w:val="2"/>
              <w:ind w:left="0" w:leftChars="0" w:firstLine="0" w:firstLineChars="0"/>
              <w:rPr>
                <w:rFonts w:hint="eastAsia" w:eastAsia="宋体"/>
                <w:lang w:eastAsia="zh-CN"/>
              </w:rPr>
            </w:pPr>
            <w:r>
              <w:rPr>
                <w:rFonts w:ascii="Segoe UI" w:hAnsi="Segoe UI" w:eastAsia="Segoe UI" w:cs="Segoe UI"/>
                <w:i w:val="0"/>
                <w:iCs w:val="0"/>
                <w:caps w:val="0"/>
                <w:spacing w:val="0"/>
                <w:sz w:val="24"/>
                <w:szCs w:val="24"/>
                <w:shd w:val="clear" w:fill="FFFFFF"/>
              </w:rPr>
              <w:t>5. 硬件支持：硬件损坏更换时，备件按原价 8 折供应</w:t>
            </w:r>
            <w:r>
              <w:rPr>
                <w:rFonts w:hint="eastAsia" w:ascii="Segoe UI" w:hAnsi="Segoe UI" w:eastAsia="宋体" w:cs="Segoe UI"/>
                <w:i w:val="0"/>
                <w:iCs w:val="0"/>
                <w:caps w:val="0"/>
                <w:spacing w:val="0"/>
                <w:sz w:val="24"/>
                <w:szCs w:val="24"/>
                <w:shd w:val="clear" w:fill="FFFFFF"/>
                <w:lang w:eastAsia="zh-CN"/>
              </w:rPr>
              <w:t>；</w:t>
            </w: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left"/>
              <w:rPr>
                <w:rFonts w:hint="default" w:ascii="Segoe UI" w:hAnsi="Segoe UI" w:eastAsia="宋体" w:cs="Segoe UI"/>
                <w:i w:val="0"/>
                <w:iCs w:val="0"/>
                <w:caps w:val="0"/>
                <w:color w:val="000000"/>
                <w:spacing w:val="0"/>
                <w:sz w:val="24"/>
                <w:szCs w:val="24"/>
                <w:lang w:val="en-US" w:eastAsia="zh-CN"/>
              </w:rPr>
            </w:pPr>
          </w:p>
        </w:tc>
        <w:tc>
          <w:tcPr>
            <w:tcW w:w="19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numPr>
                <w:ilvl w:val="0"/>
                <w:numId w:val="5"/>
              </w:numPr>
              <w:suppressLineNumbers w:val="0"/>
              <w:spacing w:before="0" w:beforeAutospacing="0" w:after="0" w:afterAutospacing="0"/>
              <w:ind w:left="0" w:leftChars="0" w:right="0" w:rightChars="0" w:firstLine="0" w:firstLineChars="0"/>
              <w:jc w:val="left"/>
              <w:rPr>
                <w:rFonts w:ascii="Segoe UI" w:hAnsi="Segoe UI" w:eastAsia="Segoe UI" w:cs="Segoe UI"/>
                <w:i w:val="0"/>
                <w:iCs w:val="0"/>
                <w:caps w:val="0"/>
                <w:spacing w:val="0"/>
                <w:sz w:val="24"/>
                <w:szCs w:val="24"/>
                <w:shd w:val="clear" w:fill="FFFFFF"/>
              </w:rPr>
            </w:pPr>
            <w:r>
              <w:rPr>
                <w:rFonts w:hint="eastAsia" w:ascii="Segoe UI" w:hAnsi="Segoe UI" w:eastAsia="宋体" w:cs="Segoe UI"/>
                <w:i w:val="0"/>
                <w:iCs w:val="0"/>
                <w:caps w:val="0"/>
                <w:spacing w:val="0"/>
                <w:sz w:val="24"/>
                <w:szCs w:val="24"/>
                <w:shd w:val="clear" w:fill="FFFFFF"/>
                <w:lang w:eastAsia="zh-CN"/>
              </w:rPr>
              <w:t>终生免费维护填</w:t>
            </w:r>
            <w:r>
              <w:rPr>
                <w:rFonts w:hint="eastAsia" w:ascii="Segoe UI" w:hAnsi="Segoe UI" w:eastAsia="宋体" w:cs="Segoe UI"/>
                <w:i w:val="0"/>
                <w:iCs w:val="0"/>
                <w:caps w:val="0"/>
                <w:spacing w:val="0"/>
                <w:sz w:val="24"/>
                <w:szCs w:val="24"/>
                <w:shd w:val="clear" w:fill="FFFFFF"/>
                <w:lang w:val="en-US" w:eastAsia="zh-CN"/>
              </w:rPr>
              <w:t>0</w:t>
            </w:r>
            <w:r>
              <w:rPr>
                <w:rFonts w:hint="eastAsia" w:ascii="Segoe UI" w:hAnsi="Segoe UI" w:eastAsia="宋体" w:cs="Segoe UI"/>
                <w:i w:val="0"/>
                <w:iCs w:val="0"/>
                <w:caps w:val="0"/>
                <w:spacing w:val="0"/>
                <w:sz w:val="24"/>
                <w:szCs w:val="24"/>
                <w:shd w:val="clear" w:fill="FFFFFF"/>
                <w:lang w:eastAsia="zh-CN"/>
              </w:rPr>
              <w:t>。</w:t>
            </w:r>
          </w:p>
          <w:p>
            <w:pPr>
              <w:keepNext w:val="0"/>
              <w:keepLines w:val="0"/>
              <w:widowControl/>
              <w:numPr>
                <w:ilvl w:val="0"/>
                <w:numId w:val="5"/>
              </w:numPr>
              <w:suppressLineNumbers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eastAsia" w:ascii="Segoe UI" w:hAnsi="Segoe UI" w:eastAsia="宋体" w:cs="Segoe UI"/>
                <w:i w:val="0"/>
                <w:iCs w:val="0"/>
                <w:caps w:val="0"/>
                <w:spacing w:val="0"/>
                <w:sz w:val="24"/>
                <w:szCs w:val="24"/>
                <w:shd w:val="clear" w:fill="FFFFFF"/>
                <w:lang w:eastAsia="zh-CN"/>
              </w:rPr>
              <w:t>质保期结束后</w:t>
            </w:r>
            <w:r>
              <w:rPr>
                <w:rFonts w:hint="default" w:ascii="Segoe UI" w:hAnsi="Segoe UI" w:eastAsia="Segoe UI" w:cs="Segoe UI"/>
                <w:i w:val="0"/>
                <w:iCs w:val="0"/>
                <w:caps w:val="0"/>
                <w:spacing w:val="0"/>
                <w:sz w:val="24"/>
                <w:szCs w:val="24"/>
                <w:shd w:val="clear" w:fill="FFFFFF"/>
              </w:rPr>
              <w:t>年度维护费不得超过本项目合同总价的10%</w:t>
            </w:r>
            <w:r>
              <w:rPr>
                <w:rFonts w:hint="eastAsia" w:ascii="Segoe UI" w:hAnsi="Segoe UI" w:eastAsia="宋体" w:cs="Segoe UI"/>
                <w:i w:val="0"/>
                <w:iCs w:val="0"/>
                <w:caps w:val="0"/>
                <w:spacing w:val="0"/>
                <w:sz w:val="24"/>
                <w:szCs w:val="24"/>
                <w:shd w:val="clear" w:fill="FFFFFF"/>
                <w:lang w:eastAsia="zh-CN"/>
              </w:rPr>
              <w:t>。</w:t>
            </w:r>
          </w:p>
          <w:p>
            <w:pPr>
              <w:pStyle w:val="2"/>
              <w:numPr>
                <w:ilvl w:val="0"/>
                <w:numId w:val="5"/>
              </w:numPr>
              <w:ind w:left="0" w:leftChars="0" w:firstLine="0" w:firstLineChars="0"/>
              <w:rPr>
                <w:rFonts w:hint="default"/>
                <w:lang w:val="en-US"/>
              </w:rPr>
            </w:pPr>
            <w:r>
              <w:rPr>
                <w:rFonts w:hint="eastAsia" w:ascii="Segoe UI" w:hAnsi="Segoe UI" w:eastAsia="宋体" w:cs="Segoe UI"/>
                <w:i w:val="0"/>
                <w:iCs w:val="0"/>
                <w:caps w:val="0"/>
                <w:spacing w:val="0"/>
                <w:sz w:val="24"/>
                <w:szCs w:val="24"/>
                <w:shd w:val="clear" w:fill="FFFFFF"/>
                <w:lang w:val="en-US" w:eastAsia="zh-CN"/>
              </w:rPr>
              <w:t>设备可能需要更换的硬件请在表2-1中列出来。</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89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spacing w:val="0"/>
                <w:kern w:val="0"/>
                <w:sz w:val="24"/>
                <w:szCs w:val="24"/>
                <w:lang w:val="en-US" w:eastAsia="zh-CN" w:bidi="ar"/>
              </w:rPr>
              <w:t>合计</w:t>
            </w:r>
          </w:p>
        </w:tc>
        <w:tc>
          <w:tcPr>
            <w:tcW w:w="1797" w:type="dxa"/>
            <w:tcBorders>
              <w:top w:val="single" w:color="auto" w:sz="4" w:space="0"/>
              <w:left w:val="single" w:color="auto" w:sz="4" w:space="0"/>
              <w:bottom w:val="single" w:color="auto" w:sz="4" w:space="0"/>
              <w:right w:val="single" w:color="auto" w:sz="4" w:space="0"/>
            </w:tcBorders>
            <w:shd w:val="clear" w:color="auto" w:fill="FFFFFF"/>
            <w:vAlign w:val="center"/>
          </w:tcPr>
          <w:p>
            <w:pPr>
              <w:jc w:val="left"/>
              <w:rPr>
                <w:rFonts w:hint="default" w:ascii="Segoe UI" w:hAnsi="Segoe UI" w:eastAsia="宋体" w:cs="Segoe UI"/>
                <w:i w:val="0"/>
                <w:iCs w:val="0"/>
                <w:caps w:val="0"/>
                <w:color w:val="000000"/>
                <w:spacing w:val="0"/>
                <w:sz w:val="24"/>
                <w:szCs w:val="24"/>
                <w:lang w:val="en-US" w:eastAsia="zh-CN"/>
              </w:rPr>
            </w:pPr>
            <w:r>
              <w:rPr>
                <w:rFonts w:hint="default" w:ascii="Segoe UI" w:hAnsi="Segoe UI" w:eastAsia="宋体" w:cs="Segoe UI"/>
                <w:i w:val="0"/>
                <w:iCs w:val="0"/>
                <w:caps w:val="0"/>
                <w:color w:val="000000"/>
                <w:spacing w:val="0"/>
                <w:sz w:val="24"/>
                <w:szCs w:val="24"/>
                <w:lang w:val="en-US" w:eastAsia="zh-CN"/>
              </w:rPr>
              <w:t>本项目合同总价 ×%= 年维护费</w:t>
            </w:r>
          </w:p>
        </w:tc>
        <w:tc>
          <w:tcPr>
            <w:tcW w:w="196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spacing w:val="0"/>
                <w:kern w:val="0"/>
                <w:sz w:val="24"/>
                <w:szCs w:val="24"/>
                <w:lang w:val="en-US" w:eastAsia="zh-CN" w:bidi="ar"/>
              </w:rPr>
              <w:t>纳入总报价</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0" w:type="auto"/>
            <w:gridSpan w:val="6"/>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firstLine="0" w:firstLineChars="0"/>
              <w:jc w:val="left"/>
              <w:rPr>
                <w:rFonts w:hint="eastAsia" w:ascii="Segoe UI" w:hAnsi="Segoe UI" w:eastAsia="Segoe UI" w:cs="Segoe UI"/>
                <w:i w:val="0"/>
                <w:iCs w:val="0"/>
                <w:caps w:val="0"/>
                <w:spacing w:val="0"/>
                <w:kern w:val="0"/>
                <w:sz w:val="24"/>
                <w:szCs w:val="24"/>
                <w:lang w:val="en-US" w:eastAsia="zh-CN" w:bidi="ar"/>
              </w:rPr>
            </w:pPr>
            <w:r>
              <w:rPr>
                <w:rFonts w:hint="eastAsia" w:ascii="Segoe UI" w:hAnsi="Segoe UI" w:eastAsia="Segoe UI" w:cs="Segoe UI"/>
                <w:i w:val="0"/>
                <w:iCs w:val="0"/>
                <w:caps w:val="0"/>
                <w:spacing w:val="0"/>
                <w:kern w:val="0"/>
                <w:sz w:val="24"/>
                <w:szCs w:val="24"/>
                <w:lang w:val="en-US" w:eastAsia="zh-CN" w:bidi="ar"/>
              </w:rPr>
              <w:t>填表说明：</w:t>
            </w:r>
            <w:r>
              <w:rPr>
                <w:rFonts w:hint="eastAsia" w:ascii="Segoe UI" w:hAnsi="Segoe UI" w:eastAsia="宋体" w:cs="Segoe UI"/>
                <w:i w:val="0"/>
                <w:iCs w:val="0"/>
                <w:caps w:val="0"/>
                <w:spacing w:val="0"/>
                <w:kern w:val="0"/>
                <w:sz w:val="24"/>
                <w:szCs w:val="24"/>
                <w:lang w:val="en-US" w:eastAsia="zh-CN" w:bidi="ar"/>
              </w:rPr>
              <w:t>1、</w:t>
            </w:r>
            <w:r>
              <w:rPr>
                <w:rFonts w:hint="eastAsia" w:ascii="Segoe UI" w:hAnsi="Segoe UI" w:eastAsia="Segoe UI" w:cs="Segoe UI"/>
                <w:i w:val="0"/>
                <w:iCs w:val="0"/>
                <w:caps w:val="0"/>
                <w:spacing w:val="0"/>
                <w:kern w:val="0"/>
                <w:sz w:val="24"/>
                <w:szCs w:val="24"/>
                <w:lang w:val="en-US" w:eastAsia="zh-CN" w:bidi="ar"/>
              </w:rPr>
              <w:t>服务期限二选一勾选，未选视为无效；2、年度维护费不得超过合同总价10%；</w:t>
            </w:r>
          </w:p>
          <w:p>
            <w:pPr>
              <w:keepNext w:val="0"/>
              <w:keepLines w:val="0"/>
              <w:widowControl/>
              <w:suppressLineNumbers w:val="0"/>
              <w:spacing w:before="0" w:beforeAutospacing="0" w:after="0" w:afterAutospacing="0"/>
              <w:ind w:left="0" w:leftChars="0" w:right="0" w:rightChars="0" w:firstLine="0" w:firstLineChars="0"/>
              <w:jc w:val="left"/>
              <w:rPr>
                <w:rFonts w:hint="default" w:ascii="Segoe UI" w:hAnsi="Segoe UI" w:eastAsia="Segoe UI" w:cs="Segoe UI"/>
                <w:i w:val="0"/>
                <w:iCs w:val="0"/>
                <w:caps w:val="0"/>
                <w:spacing w:val="0"/>
                <w:kern w:val="0"/>
                <w:sz w:val="24"/>
                <w:szCs w:val="24"/>
                <w:lang w:val="en-US" w:eastAsia="zh-CN" w:bidi="ar"/>
              </w:rPr>
            </w:pPr>
            <w:r>
              <w:rPr>
                <w:rFonts w:hint="eastAsia" w:ascii="Segoe UI" w:hAnsi="Segoe UI" w:eastAsia="Segoe UI" w:cs="Segoe UI"/>
                <w:i w:val="0"/>
                <w:iCs w:val="0"/>
                <w:caps w:val="0"/>
                <w:spacing w:val="0"/>
                <w:kern w:val="0"/>
                <w:sz w:val="24"/>
                <w:szCs w:val="24"/>
                <w:lang w:val="en-US" w:eastAsia="zh-CN" w:bidi="ar"/>
              </w:rPr>
              <w:t>3、此费用需纳入总报价。</w:t>
            </w:r>
          </w:p>
        </w:tc>
      </w:tr>
    </w:tbl>
    <w:p>
      <w:pPr>
        <w:pStyle w:val="2"/>
        <w:ind w:left="0" w:leftChars="0" w:firstLine="0" w:firstLineChars="0"/>
        <w:rPr>
          <w:rFonts w:hint="default"/>
          <w:lang w:val="en-US" w:eastAsia="zh-CN"/>
        </w:rPr>
      </w:pPr>
      <w:r>
        <w:rPr>
          <w:rFonts w:hint="eastAsia"/>
          <w:lang w:val="en-US" w:eastAsia="zh-CN"/>
        </w:rPr>
        <w:t>表2-1：常用备件价格明细表</w:t>
      </w:r>
    </w:p>
    <w:tbl>
      <w:tblPr>
        <w:tblStyle w:val="21"/>
        <w:tblW w:w="9853" w:type="dxa"/>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12"/>
        <w:gridCol w:w="1593"/>
        <w:gridCol w:w="1629"/>
        <w:gridCol w:w="2307"/>
        <w:gridCol w:w="2112"/>
      </w:tblGrid>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tblHeader/>
          <w:jc w:val="center"/>
        </w:trPr>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备件名称</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备件型号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原价（元/个）</w:t>
            </w:r>
          </w:p>
        </w:tc>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质保后8折价格</w:t>
            </w:r>
          </w:p>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（元/个）</w:t>
            </w: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b/>
                <w:bCs/>
                <w:sz w:val="24"/>
              </w:rPr>
            </w:pPr>
            <w:r>
              <w:rPr>
                <w:rFonts w:ascii="宋体" w:hAnsi="宋体" w:eastAsia="宋体" w:cs="宋体"/>
                <w:b/>
                <w:bCs/>
                <w:kern w:val="0"/>
                <w:sz w:val="24"/>
                <w:szCs w:val="24"/>
                <w:lang w:val="en-US" w:eastAsia="zh-CN" w:bidi="ar"/>
              </w:rPr>
              <w:t>备注（适用场景）</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舌象采集镜头</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（对应设备型号）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right"/>
              <w:rPr>
                <w:rFonts w:hint="eastAsia" w:ascii="宋体" w:eastAsia="宋体"/>
                <w:sz w:val="24"/>
                <w:szCs w:val="24"/>
              </w:rPr>
            </w:pPr>
          </w:p>
        </w:tc>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right"/>
              <w:rPr>
                <w:rFonts w:hint="eastAsia" w:ascii="宋体" w:eastAsia="宋体"/>
                <w:sz w:val="24"/>
                <w:szCs w:val="24"/>
              </w:rPr>
            </w:pP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舌象采集模糊时更换</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脉象采集腕带</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（对应设备型号）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right"/>
              <w:rPr>
                <w:rFonts w:hint="eastAsia" w:ascii="宋体" w:eastAsia="宋体"/>
                <w:sz w:val="24"/>
                <w:szCs w:val="24"/>
              </w:rPr>
            </w:pPr>
          </w:p>
        </w:tc>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right"/>
              <w:rPr>
                <w:rFonts w:hint="eastAsia" w:ascii="宋体" w:eastAsia="宋体"/>
                <w:sz w:val="24"/>
                <w:szCs w:val="24"/>
              </w:rPr>
            </w:pP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腕带破损时更换</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22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主机电源适配器</w:t>
            </w:r>
          </w:p>
        </w:tc>
        <w:tc>
          <w:tcPr>
            <w:tcW w:w="15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（对应设备型号）</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right"/>
              <w:rPr>
                <w:rFonts w:hint="eastAsia" w:ascii="宋体" w:eastAsia="宋体"/>
                <w:sz w:val="24"/>
                <w:szCs w:val="24"/>
              </w:rPr>
            </w:pPr>
          </w:p>
        </w:tc>
        <w:tc>
          <w:tcPr>
            <w:tcW w:w="2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snapToGrid w:val="0"/>
              <w:ind w:left="0" w:leftChars="0" w:right="0" w:rightChars="0" w:firstLine="0" w:firstLineChars="0"/>
              <w:jc w:val="right"/>
              <w:rPr>
                <w:rFonts w:hint="eastAsia" w:ascii="宋体" w:eastAsia="宋体"/>
                <w:sz w:val="24"/>
                <w:szCs w:val="24"/>
              </w:rPr>
            </w:pPr>
          </w:p>
        </w:tc>
        <w:tc>
          <w:tcPr>
            <w:tcW w:w="21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宋体" w:eastAsia="宋体"/>
                <w:sz w:val="24"/>
              </w:rPr>
            </w:pPr>
            <w:r>
              <w:rPr>
                <w:rFonts w:ascii="宋体" w:hAnsi="宋体" w:eastAsia="宋体" w:cs="宋体"/>
                <w:kern w:val="0"/>
                <w:sz w:val="24"/>
                <w:szCs w:val="24"/>
                <w:lang w:val="en-US" w:eastAsia="zh-CN" w:bidi="ar"/>
              </w:rPr>
              <w:t>电源故障时更换</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22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ascii="Segoe UI" w:hAnsi="Segoe UI" w:eastAsia="Segoe UI" w:cs="Segoe UI"/>
                <w:i w:val="0"/>
                <w:iCs w:val="0"/>
                <w:caps w:val="0"/>
                <w:spacing w:val="0"/>
                <w:sz w:val="24"/>
                <w:szCs w:val="24"/>
              </w:rPr>
            </w:pPr>
            <w:r>
              <w:rPr>
                <w:rFonts w:hint="default" w:ascii="Segoe UI" w:hAnsi="Segoe UI" w:eastAsia="Segoe UI" w:cs="Segoe UI"/>
                <w:i w:val="0"/>
                <w:iCs w:val="0"/>
                <w:caps w:val="0"/>
                <w:spacing w:val="0"/>
                <w:kern w:val="0"/>
                <w:sz w:val="24"/>
                <w:szCs w:val="24"/>
                <w:lang w:val="en-US" w:eastAsia="zh-CN" w:bidi="ar"/>
              </w:rPr>
              <w:t>（可补充其他常用备件）</w:t>
            </w:r>
          </w:p>
        </w:tc>
        <w:tc>
          <w:tcPr>
            <w:tcW w:w="159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snapToGrid w:val="0"/>
              <w:ind w:left="0" w:leftChars="0" w:right="0" w:rightChars="0" w:firstLine="0" w:firstLineChars="0"/>
              <w:jc w:val="center"/>
              <w:rPr>
                <w:rFonts w:hint="default" w:ascii="Segoe UI" w:hAnsi="Segoe UI" w:eastAsia="Segoe UI" w:cs="Segoe UI"/>
                <w:i w:val="0"/>
                <w:iCs w:val="0"/>
                <w:caps w:val="0"/>
                <w:spacing w:val="0"/>
                <w:sz w:val="24"/>
                <w:szCs w:val="24"/>
              </w:rPr>
            </w:pPr>
          </w:p>
        </w:tc>
        <w:tc>
          <w:tcPr>
            <w:tcW w:w="162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keepLines w:val="0"/>
              <w:widowControl/>
              <w:suppressLineNumbers w:val="0"/>
              <w:snapToGrid w:val="0"/>
              <w:spacing w:before="0" w:beforeAutospacing="0" w:after="0" w:afterAutospacing="0"/>
              <w:ind w:left="0" w:leftChars="0" w:right="0" w:rightChars="0" w:firstLine="0" w:firstLineChars="0"/>
              <w:jc w:val="center"/>
              <w:rPr>
                <w:rFonts w:hint="default" w:ascii="Segoe UI" w:hAnsi="Segoe UI" w:eastAsia="Segoe UI" w:cs="Segoe UI"/>
                <w:i w:val="0"/>
                <w:iCs w:val="0"/>
                <w:caps w:val="0"/>
                <w:spacing w:val="0"/>
                <w:sz w:val="24"/>
                <w:szCs w:val="24"/>
              </w:rPr>
            </w:pPr>
          </w:p>
        </w:tc>
        <w:tc>
          <w:tcPr>
            <w:tcW w:w="230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snapToGrid w:val="0"/>
              <w:ind w:left="0" w:leftChars="0" w:right="0" w:rightChars="0" w:firstLine="0" w:firstLineChars="0"/>
              <w:jc w:val="center"/>
              <w:rPr>
                <w:rFonts w:hint="eastAsia" w:ascii="宋体"/>
                <w:sz w:val="24"/>
                <w:szCs w:val="24"/>
              </w:rPr>
            </w:pPr>
          </w:p>
        </w:tc>
        <w:tc>
          <w:tcPr>
            <w:tcW w:w="21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pPr>
              <w:keepNext/>
              <w:snapToGrid w:val="0"/>
              <w:ind w:left="0" w:leftChars="0" w:right="0" w:rightChars="0" w:firstLine="0" w:firstLineChars="0"/>
              <w:jc w:val="center"/>
              <w:rPr>
                <w:rFonts w:hint="eastAsia" w:ascii="宋体"/>
                <w:sz w:val="24"/>
                <w:szCs w:val="24"/>
              </w:rPr>
            </w:pPr>
          </w:p>
        </w:tc>
      </w:tr>
    </w:tbl>
    <w:p>
      <w:pPr>
        <w:pStyle w:val="2"/>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eastAsia"/>
          <w:lang w:val="en-US" w:eastAsia="zh-CN"/>
        </w:rPr>
      </w:pPr>
      <w:r>
        <w:rPr>
          <w:rFonts w:hint="default"/>
          <w:lang w:val="en-US" w:eastAsia="zh-CN"/>
        </w:rPr>
        <w:t>表 3：</w:t>
      </w:r>
      <w:r>
        <w:rPr>
          <w:rFonts w:hint="eastAsia"/>
          <w:lang w:val="en-US" w:eastAsia="zh-CN"/>
        </w:rPr>
        <w:t>总报价汇总</w:t>
      </w:r>
    </w:p>
    <w:tbl>
      <w:tblPr>
        <w:tblStyle w:val="21"/>
        <w:tblW w:w="5008" w:type="pct"/>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2"/>
        <w:gridCol w:w="2821"/>
        <w:gridCol w:w="1574"/>
        <w:gridCol w:w="4646"/>
      </w:tblGrid>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lang w:val="en-US" w:eastAsia="zh-CN" w:bidi="ar"/>
              </w:rPr>
              <w:t>序号</w:t>
            </w:r>
          </w:p>
        </w:tc>
        <w:tc>
          <w:tcPr>
            <w:tcW w:w="145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lang w:val="en-US" w:eastAsia="zh-CN" w:bidi="ar"/>
              </w:rPr>
              <w:t>报价模块</w:t>
            </w:r>
          </w:p>
        </w:tc>
        <w:tc>
          <w:tcPr>
            <w:tcW w:w="814"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lang w:val="en-US" w:eastAsia="zh-CN" w:bidi="ar"/>
              </w:rPr>
              <w:t>金额（元）</w:t>
            </w:r>
          </w:p>
        </w:tc>
        <w:tc>
          <w:tcPr>
            <w:tcW w:w="240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Segoe UI" w:hAnsi="Segoe UI" w:eastAsia="Segoe UI" w:cs="Segoe UI"/>
                <w:b/>
                <w:bCs/>
                <w:i w:val="0"/>
                <w:iCs w:val="0"/>
                <w:caps w:val="0"/>
                <w:color w:val="000000"/>
                <w:spacing w:val="0"/>
                <w:sz w:val="24"/>
                <w:szCs w:val="24"/>
              </w:rPr>
            </w:pPr>
            <w:r>
              <w:rPr>
                <w:rFonts w:hint="default" w:ascii="Segoe UI" w:hAnsi="Segoe UI" w:eastAsia="Segoe UI" w:cs="Segoe UI"/>
                <w:b/>
                <w:bCs/>
                <w:i w:val="0"/>
                <w:iCs w:val="0"/>
                <w:caps w:val="0"/>
                <w:color w:val="000000"/>
                <w:spacing w:val="0"/>
                <w:kern w:val="0"/>
                <w:sz w:val="24"/>
                <w:szCs w:val="24"/>
                <w:lang w:val="en-US" w:eastAsia="zh-CN" w:bidi="ar"/>
              </w:rPr>
              <w:t>备注</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1</w:t>
            </w:r>
          </w:p>
        </w:tc>
        <w:tc>
          <w:tcPr>
            <w:tcW w:w="145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核心设备报价</w:t>
            </w:r>
          </w:p>
        </w:tc>
        <w:tc>
          <w:tcPr>
            <w:tcW w:w="814" w:type="pc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left="0" w:leftChars="0" w:right="0" w:rightChars="0" w:firstLine="0" w:firstLineChars="0"/>
              <w:jc w:val="right"/>
              <w:rPr>
                <w:rFonts w:hint="default" w:ascii="Segoe UI" w:hAnsi="Segoe UI" w:eastAsia="Segoe UI" w:cs="Segoe UI"/>
                <w:i w:val="0"/>
                <w:iCs w:val="0"/>
                <w:caps w:val="0"/>
                <w:color w:val="000000"/>
                <w:spacing w:val="0"/>
                <w:sz w:val="24"/>
                <w:szCs w:val="24"/>
              </w:rPr>
            </w:pPr>
          </w:p>
        </w:tc>
        <w:tc>
          <w:tcPr>
            <w:tcW w:w="240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表 1 合计</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2</w:t>
            </w:r>
          </w:p>
        </w:tc>
        <w:tc>
          <w:tcPr>
            <w:tcW w:w="145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sz w:val="24"/>
                <w:szCs w:val="24"/>
                <w:lang w:val="en-US" w:eastAsia="zh-CN"/>
              </w:rPr>
              <w:t>免费维护期结束后</w:t>
            </w:r>
            <w:r>
              <w:rPr>
                <w:rFonts w:hint="eastAsia" w:ascii="Segoe UI" w:hAnsi="Segoe UI" w:eastAsia="Segoe UI" w:cs="Segoe UI"/>
                <w:i w:val="0"/>
                <w:iCs w:val="0"/>
                <w:caps w:val="0"/>
                <w:color w:val="000000"/>
                <w:spacing w:val="0"/>
                <w:sz w:val="24"/>
                <w:szCs w:val="24"/>
                <w:lang w:val="en-US" w:eastAsia="zh-CN"/>
              </w:rPr>
              <w:t>总</w:t>
            </w:r>
            <w:r>
              <w:rPr>
                <w:rFonts w:hint="default" w:ascii="Segoe UI" w:hAnsi="Segoe UI" w:eastAsia="Segoe UI" w:cs="Segoe UI"/>
                <w:i w:val="0"/>
                <w:iCs w:val="0"/>
                <w:caps w:val="0"/>
                <w:color w:val="000000"/>
                <w:spacing w:val="0"/>
                <w:sz w:val="24"/>
                <w:szCs w:val="24"/>
                <w:lang w:val="en-US" w:eastAsia="zh-CN"/>
              </w:rPr>
              <w:t>报价</w:t>
            </w:r>
          </w:p>
        </w:tc>
        <w:tc>
          <w:tcPr>
            <w:tcW w:w="814" w:type="pc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left="0" w:leftChars="0" w:right="0" w:rightChars="0" w:firstLine="0" w:firstLineChars="0"/>
              <w:jc w:val="right"/>
              <w:rPr>
                <w:rFonts w:hint="default" w:ascii="Segoe UI" w:hAnsi="Segoe UI" w:eastAsia="Segoe UI" w:cs="Segoe UI"/>
                <w:i w:val="0"/>
                <w:iCs w:val="0"/>
                <w:caps w:val="0"/>
                <w:color w:val="000000"/>
                <w:spacing w:val="0"/>
                <w:sz w:val="24"/>
                <w:szCs w:val="24"/>
              </w:rPr>
            </w:pPr>
          </w:p>
        </w:tc>
        <w:tc>
          <w:tcPr>
            <w:tcW w:w="240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表 2 合计</w:t>
            </w:r>
          </w:p>
        </w:tc>
      </w:tr>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center"/>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w:t>
            </w:r>
          </w:p>
        </w:tc>
        <w:tc>
          <w:tcPr>
            <w:tcW w:w="1459"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最终总报价</w:t>
            </w:r>
          </w:p>
        </w:tc>
        <w:tc>
          <w:tcPr>
            <w:tcW w:w="814" w:type="pc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ind w:left="0" w:leftChars="0" w:right="0" w:rightChars="0" w:firstLine="0" w:firstLineChars="0"/>
              <w:jc w:val="right"/>
              <w:rPr>
                <w:rFonts w:hint="default" w:ascii="Segoe UI" w:hAnsi="Segoe UI" w:eastAsia="Segoe UI" w:cs="Segoe UI"/>
                <w:i w:val="0"/>
                <w:iCs w:val="0"/>
                <w:caps w:val="0"/>
                <w:color w:val="000000"/>
                <w:spacing w:val="0"/>
                <w:sz w:val="24"/>
                <w:szCs w:val="24"/>
              </w:rPr>
            </w:pPr>
          </w:p>
        </w:tc>
        <w:tc>
          <w:tcPr>
            <w:tcW w:w="2403"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napToGrid w:val="0"/>
              <w:spacing w:before="0" w:beforeAutospacing="0" w:after="0" w:afterAutospacing="0"/>
              <w:ind w:left="0" w:leftChars="0" w:right="0" w:rightChars="0" w:firstLine="0" w:firstLineChars="0"/>
              <w:jc w:val="left"/>
              <w:rPr>
                <w:rFonts w:hint="default" w:ascii="Segoe UI" w:hAnsi="Segoe UI" w:eastAsia="Segoe UI" w:cs="Segoe UI"/>
                <w:i w:val="0"/>
                <w:iCs w:val="0"/>
                <w:caps w:val="0"/>
                <w:color w:val="000000"/>
                <w:spacing w:val="0"/>
                <w:sz w:val="24"/>
                <w:szCs w:val="24"/>
              </w:rPr>
            </w:pPr>
            <w:r>
              <w:rPr>
                <w:rFonts w:hint="default" w:ascii="Segoe UI" w:hAnsi="Segoe UI" w:eastAsia="Segoe UI" w:cs="Segoe UI"/>
                <w:i w:val="0"/>
                <w:iCs w:val="0"/>
                <w:caps w:val="0"/>
                <w:color w:val="000000"/>
                <w:spacing w:val="0"/>
                <w:kern w:val="0"/>
                <w:sz w:val="24"/>
                <w:szCs w:val="24"/>
                <w:lang w:val="en-US" w:eastAsia="zh-CN" w:bidi="ar"/>
              </w:rPr>
              <w:t>大写：__________ 小写：__________</w:t>
            </w:r>
          </w:p>
        </w:tc>
      </w:tr>
    </w:tbl>
    <w:p>
      <w:pPr>
        <w:wordWrap w:val="0"/>
        <w:spacing w:line="360" w:lineRule="auto"/>
        <w:contextualSpacing/>
        <w:rPr>
          <w:rFonts w:hint="eastAsia" w:ascii="宋体" w:hAnsi="宋体" w:cs="仿宋_GB2312"/>
          <w:color w:val="auto"/>
          <w:sz w:val="24"/>
          <w:highlight w:val="none"/>
        </w:rPr>
      </w:pPr>
    </w:p>
    <w:p>
      <w:pPr>
        <w:wordWrap w:val="0"/>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以上竞标报价表中“货物名称、数量及单位、品牌、规格型号、制造商、产品合格证”必须如实填写完整，品牌、规格型号没有则填无，填写有缺漏</w:t>
      </w:r>
      <w:r>
        <w:rPr>
          <w:rFonts w:hint="eastAsia" w:ascii="宋体" w:hAnsi="宋体" w:eastAsia="宋体" w:cs="宋体"/>
          <w:bCs/>
          <w:color w:val="auto"/>
          <w:sz w:val="24"/>
          <w:highlight w:val="none"/>
        </w:rPr>
        <w:t>的，</w:t>
      </w:r>
      <w:r>
        <w:rPr>
          <w:rFonts w:hint="eastAsia" w:ascii="宋体" w:hAnsi="宋体" w:eastAsia="宋体" w:cs="宋体"/>
          <w:b/>
          <w:color w:val="auto"/>
          <w:sz w:val="24"/>
          <w:highlight w:val="none"/>
        </w:rPr>
        <w:t>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2.供应商的报价表必须加盖供应商公章并由法定代表人或者委托代理人签字或者签章，</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bCs/>
          <w:color w:val="auto"/>
          <w:sz w:val="24"/>
          <w:highlight w:val="none"/>
        </w:rPr>
        <w:t>3.</w:t>
      </w:r>
      <w:r>
        <w:rPr>
          <w:rFonts w:hint="eastAsia" w:ascii="宋体" w:hAnsi="宋体" w:eastAsia="宋体" w:cs="宋体"/>
          <w:color w:val="auto"/>
          <w:sz w:val="24"/>
          <w:highlight w:val="none"/>
        </w:rPr>
        <w:t>报价一经涂改，应在涂改处加盖供应商公章或者加盖公章或者由法定代表人或者授权委托人签字（或者签章）</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4.谈判文件中列明采购专用耗材的，应按谈判文件规定的耗材量或者按耗材的常规试用量提供报价。</w:t>
      </w:r>
    </w:p>
    <w:p>
      <w:pPr>
        <w:wordWrap w:val="0"/>
        <w:spacing w:line="360" w:lineRule="auto"/>
        <w:ind w:firstLine="480" w:firstLineChars="200"/>
        <w:contextualSpacing/>
        <w:rPr>
          <w:rFonts w:ascii="宋体" w:hAnsi="宋体" w:eastAsia="宋体" w:cs="宋体"/>
          <w:i/>
          <w:color w:val="auto"/>
          <w:sz w:val="24"/>
          <w:highlight w:val="none"/>
        </w:rPr>
      </w:pPr>
      <w:r>
        <w:rPr>
          <w:rFonts w:hint="eastAsia" w:ascii="宋体" w:hAnsi="宋体" w:eastAsia="宋体" w:cs="宋体"/>
          <w:color w:val="auto"/>
          <w:sz w:val="24"/>
          <w:highlight w:val="none"/>
        </w:rPr>
        <w:t>5.如为联合体竞标，“供应商名称”处必须列明联合体各方名称，标注联合体牵头人名称，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6.如为联合体竞标，</w:t>
      </w:r>
      <w:r>
        <w:rPr>
          <w:rFonts w:hint="eastAsia" w:ascii="宋体" w:hAnsi="宋体" w:eastAsia="宋体" w:cs="宋体"/>
          <w:color w:val="auto"/>
          <w:spacing w:val="-6"/>
          <w:sz w:val="24"/>
          <w:highlight w:val="none"/>
        </w:rPr>
        <w:t xml:space="preserve"> 盖章处须加盖联合体牵头人公章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pPr>
        <w:wordWrap w:val="0"/>
        <w:spacing w:line="360" w:lineRule="auto"/>
        <w:ind w:firstLine="480" w:firstLineChars="200"/>
        <w:contextualSpacing/>
        <w:rPr>
          <w:rFonts w:ascii="宋体" w:hAnsi="宋体" w:eastAsia="宋体" w:cs="宋体"/>
          <w:b/>
          <w:color w:val="auto"/>
          <w:sz w:val="24"/>
          <w:highlight w:val="none"/>
        </w:rPr>
      </w:pPr>
      <w:r>
        <w:rPr>
          <w:rFonts w:hint="eastAsia" w:ascii="宋体" w:hAnsi="宋体" w:eastAsia="宋体" w:cs="宋体"/>
          <w:color w:val="auto"/>
          <w:sz w:val="24"/>
          <w:highlight w:val="none"/>
        </w:rPr>
        <w:t>7.</w:t>
      </w:r>
      <w:r>
        <w:rPr>
          <w:rFonts w:hint="eastAsia" w:ascii="宋体" w:hAnsi="宋体" w:eastAsia="宋体" w:cs="宋体"/>
          <w:color w:val="auto"/>
          <w:spacing w:val="-6"/>
          <w:sz w:val="24"/>
          <w:highlight w:val="none"/>
        </w:rPr>
        <w:t>如有多分标，分别列明各分标的报价表，</w:t>
      </w:r>
      <w:r>
        <w:rPr>
          <w:rFonts w:hint="eastAsia" w:ascii="宋体" w:hAnsi="宋体" w:eastAsia="宋体" w:cs="宋体"/>
          <w:b/>
          <w:color w:val="auto"/>
          <w:spacing w:val="-6"/>
          <w:sz w:val="24"/>
          <w:highlight w:val="none"/>
        </w:rPr>
        <w:t>否则其响应文件按无效处理。</w:t>
      </w:r>
    </w:p>
    <w:p>
      <w:pPr>
        <w:wordWrap w:val="0"/>
        <w:spacing w:line="360" w:lineRule="auto"/>
        <w:ind w:right="-856" w:rightChars="-389" w:firstLine="2640" w:firstLineChars="1100"/>
        <w:contextualSpacing/>
        <w:rPr>
          <w:rFonts w:ascii="宋体" w:hAnsi="宋体" w:eastAsia="宋体" w:cs="宋体"/>
          <w:color w:val="auto"/>
          <w:sz w:val="24"/>
          <w:highlight w:val="none"/>
        </w:rPr>
      </w:pP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法定代表人或者委托代理人（签字或者签章）：                    </w:t>
      </w:r>
    </w:p>
    <w:p>
      <w:pPr>
        <w:wordWrap w:val="0"/>
        <w:spacing w:line="360" w:lineRule="auto"/>
        <w:ind w:right="-856" w:rightChars="-389" w:firstLine="2640" w:firstLineChars="1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供应商（公章）：      </w:t>
      </w:r>
    </w:p>
    <w:p>
      <w:pPr>
        <w:wordWrap w:val="0"/>
        <w:spacing w:line="360" w:lineRule="auto"/>
        <w:ind w:right="-856" w:rightChars="-3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spacing w:line="400" w:lineRule="exact"/>
        <w:jc w:val="center"/>
        <w:rPr>
          <w:rFonts w:hint="eastAsia" w:ascii="宋体" w:hAnsi="宋体" w:cs="宋体"/>
          <w:bCs/>
          <w:sz w:val="28"/>
          <w:szCs w:val="28"/>
          <w:lang w:val="en-US" w:eastAsia="zh-CN"/>
        </w:rPr>
      </w:pPr>
    </w:p>
    <w:p>
      <w:pPr>
        <w:spacing w:before="5" w:line="360" w:lineRule="auto"/>
        <w:rPr>
          <w:rFonts w:ascii="宋体"/>
          <w:sz w:val="24"/>
          <w:szCs w:val="24"/>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wordWrap w:val="0"/>
        <w:rPr>
          <w:b/>
          <w:color w:val="auto"/>
          <w:sz w:val="32"/>
          <w:szCs w:val="32"/>
          <w:highlight w:val="none"/>
        </w:rPr>
      </w:pPr>
      <w:r>
        <w:rPr>
          <w:rFonts w:hint="eastAsia"/>
          <w:b/>
          <w:color w:val="auto"/>
          <w:sz w:val="32"/>
          <w:szCs w:val="32"/>
          <w:highlight w:val="none"/>
        </w:rPr>
        <w:t>二、资格证明文件格式</w:t>
      </w:r>
    </w:p>
    <w:p>
      <w:pPr>
        <w:wordWrap w:val="0"/>
        <w:spacing w:before="120" w:beforeLines="50" w:after="50" w:line="360" w:lineRule="auto"/>
        <w:rPr>
          <w:rFonts w:ascii="宋体" w:hAnsi="宋体"/>
          <w:b/>
          <w:color w:val="auto"/>
          <w:sz w:val="24"/>
          <w:highlight w:val="none"/>
        </w:rPr>
      </w:pPr>
      <w:r>
        <w:rPr>
          <w:rFonts w:hint="eastAsia" w:ascii="宋体" w:hAnsi="宋体"/>
          <w:b/>
          <w:color w:val="auto"/>
          <w:sz w:val="32"/>
          <w:szCs w:val="32"/>
          <w:highlight w:val="none"/>
        </w:rPr>
        <w:t>1.资格证明文件封面格式：</w:t>
      </w:r>
    </w:p>
    <w:p>
      <w:pPr>
        <w:wordWrap w:val="0"/>
        <w:spacing w:before="120" w:beforeLines="50" w:after="50"/>
        <w:rPr>
          <w:rFonts w:ascii="宋体" w:hAnsi="宋体"/>
          <w:bCs/>
          <w:color w:val="auto"/>
          <w:sz w:val="32"/>
          <w:szCs w:val="20"/>
          <w:highlight w:val="none"/>
        </w:rPr>
      </w:pPr>
    </w:p>
    <w:p>
      <w:pPr>
        <w:wordWrap w:val="0"/>
        <w:spacing w:before="120" w:beforeLines="50" w:after="50"/>
        <w:jc w:val="center"/>
        <w:rPr>
          <w:rFonts w:ascii="宋体" w:hAnsi="宋体"/>
          <w:color w:val="auto"/>
          <w:sz w:val="44"/>
          <w:szCs w:val="44"/>
          <w:highlight w:val="none"/>
        </w:rPr>
      </w:pPr>
      <w:r>
        <w:rPr>
          <w:rFonts w:hint="eastAsia" w:ascii="宋体" w:hAnsi="宋体"/>
          <w:color w:val="auto"/>
          <w:sz w:val="44"/>
          <w:szCs w:val="44"/>
          <w:highlight w:val="none"/>
        </w:rPr>
        <w:t xml:space="preserve"> 响 应 文 件</w:t>
      </w:r>
    </w:p>
    <w:p>
      <w:pPr>
        <w:wordWrap w:val="0"/>
        <w:spacing w:before="120" w:beforeLines="50" w:after="50"/>
        <w:rPr>
          <w:rFonts w:ascii="宋体" w:hAnsi="宋体"/>
          <w:color w:val="auto"/>
          <w:sz w:val="24"/>
          <w:szCs w:val="20"/>
          <w:highlight w:val="none"/>
        </w:rPr>
      </w:pPr>
    </w:p>
    <w:p>
      <w:pPr>
        <w:wordWrap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rPr>
          <w:rFonts w:ascii="宋体" w:hAnsi="宋体"/>
          <w:bCs/>
          <w:color w:val="auto"/>
          <w:sz w:val="24"/>
          <w:szCs w:val="20"/>
          <w:highlight w:val="none"/>
        </w:rPr>
      </w:pPr>
    </w:p>
    <w:p>
      <w:pPr>
        <w:wordWrap w:val="0"/>
        <w:spacing w:before="120"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wordWrap w:val="0"/>
        <w:spacing w:before="120" w:beforeLines="50" w:after="50"/>
        <w:ind w:firstLine="720" w:firstLineChars="225"/>
        <w:rPr>
          <w:rFonts w:ascii="宋体" w:hAnsi="宋体" w:cs="仿宋_GB2312"/>
          <w:bCs/>
          <w:color w:val="auto"/>
          <w:sz w:val="32"/>
          <w:szCs w:val="32"/>
          <w:highlight w:val="none"/>
        </w:rPr>
      </w:pPr>
    </w:p>
    <w:p>
      <w:pPr>
        <w:wordWrap w:val="0"/>
        <w:spacing w:before="120" w:beforeLines="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wordWrap w:val="0"/>
        <w:spacing w:before="120" w:beforeLines="50" w:after="50"/>
        <w:ind w:firstLine="640" w:firstLineChars="200"/>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720" w:firstLineChars="225"/>
        <w:rPr>
          <w:rFonts w:ascii="宋体" w:hAnsi="宋体" w:cs="仿宋_GB2312"/>
          <w:bCs/>
          <w:color w:val="auto"/>
          <w:sz w:val="32"/>
          <w:szCs w:val="32"/>
          <w:highlight w:val="none"/>
        </w:rPr>
      </w:pPr>
    </w:p>
    <w:p>
      <w:pPr>
        <w:pStyle w:val="2"/>
        <w:wordWrap w:val="0"/>
        <w:spacing w:before="50" w:after="50"/>
        <w:ind w:firstLine="1280" w:firstLineChars="400"/>
        <w:rPr>
          <w:rFonts w:ascii="宋体" w:hAnsi="宋体" w:cs="仿宋_GB2312"/>
          <w:bCs/>
          <w:color w:val="auto"/>
          <w:sz w:val="32"/>
          <w:szCs w:val="32"/>
          <w:highlight w:val="none"/>
        </w:rPr>
      </w:pPr>
    </w:p>
    <w:p>
      <w:pPr>
        <w:wordWrap w:val="0"/>
        <w:spacing w:before="120"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hd w:val="clear" w:color="auto" w:fill="FFFFFF"/>
        <w:spacing w:line="440" w:lineRule="exact"/>
        <w:jc w:val="center"/>
        <w:rPr>
          <w:rFonts w:ascii="宋体" w:hAnsi="宋体" w:eastAsia="宋体" w:cs="宋体"/>
          <w:b/>
          <w:bCs/>
          <w:color w:val="auto"/>
          <w:sz w:val="24"/>
          <w:highlight w:val="none"/>
        </w:rPr>
      </w:pPr>
      <w:r>
        <w:rPr>
          <w:rFonts w:ascii="宋体" w:hAnsi="宋体"/>
          <w:color w:val="auto"/>
          <w:sz w:val="24"/>
          <w:highlight w:val="none"/>
        </w:rPr>
        <w:br w:type="page"/>
      </w:r>
    </w:p>
    <w:p>
      <w:pPr>
        <w:shd w:val="clear" w:color="auto" w:fill="FFFFFF"/>
        <w:spacing w:line="440" w:lineRule="exact"/>
        <w:jc w:val="center"/>
        <w:rPr>
          <w:rFonts w:ascii="宋体" w:hAnsi="宋体" w:eastAsia="宋体" w:cs="宋体"/>
          <w:b/>
          <w:bCs/>
          <w:color w:val="auto"/>
          <w:sz w:val="24"/>
          <w:highlight w:val="none"/>
        </w:rPr>
      </w:pPr>
    </w:p>
    <w:p>
      <w:pPr>
        <w:wordWrap w:val="0"/>
        <w:spacing w:before="120" w:beforeLines="50" w:after="50" w:line="360" w:lineRule="auto"/>
        <w:ind w:left="142"/>
        <w:rPr>
          <w:rFonts w:ascii="宋体" w:hAnsi="宋体"/>
          <w:b/>
          <w:bCs/>
          <w:color w:val="auto"/>
          <w:sz w:val="32"/>
          <w:szCs w:val="32"/>
          <w:highlight w:val="none"/>
        </w:rPr>
      </w:pPr>
      <w:r>
        <w:rPr>
          <w:rFonts w:hint="eastAsia" w:ascii="宋体" w:hAnsi="宋体"/>
          <w:b/>
          <w:bCs/>
          <w:color w:val="auto"/>
          <w:sz w:val="32"/>
          <w:szCs w:val="32"/>
          <w:highlight w:val="none"/>
        </w:rPr>
        <w:t>2.资格证明文件目录</w:t>
      </w:r>
    </w:p>
    <w:p>
      <w:pPr>
        <w:wordWrap w:val="0"/>
        <w:spacing w:before="120"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b/>
          <w:bCs/>
          <w:color w:val="auto"/>
          <w:sz w:val="24"/>
          <w:highlight w:val="none"/>
        </w:rPr>
      </w:pPr>
    </w:p>
    <w:p>
      <w:pPr>
        <w:shd w:val="clear" w:color="auto" w:fill="FFFFFF"/>
        <w:spacing w:line="440" w:lineRule="exact"/>
        <w:jc w:val="both"/>
        <w:rPr>
          <w:rFonts w:ascii="宋体" w:hAnsi="宋体" w:eastAsia="宋体" w:cs="宋体"/>
          <w:b/>
          <w:bCs/>
          <w:color w:val="auto"/>
          <w:sz w:val="24"/>
          <w:highlight w:val="none"/>
        </w:rPr>
      </w:pPr>
    </w:p>
    <w:p>
      <w:pPr>
        <w:shd w:val="clear" w:color="auto" w:fill="FFFFFF"/>
        <w:spacing w:line="440" w:lineRule="exact"/>
        <w:jc w:val="center"/>
        <w:rPr>
          <w:rFonts w:ascii="宋体" w:hAnsi="宋体" w:eastAsia="宋体" w:cs="宋体"/>
          <w:color w:val="auto"/>
          <w:sz w:val="24"/>
          <w:highlight w:val="none"/>
        </w:rPr>
      </w:pPr>
      <w:r>
        <w:rPr>
          <w:rFonts w:hint="eastAsia" w:ascii="宋体" w:hAnsi="宋体" w:eastAsia="宋体" w:cs="宋体"/>
          <w:b/>
          <w:bCs/>
          <w:color w:val="auto"/>
          <w:sz w:val="24"/>
          <w:highlight w:val="none"/>
        </w:rPr>
        <w:t>技术规格响应表</w:t>
      </w:r>
      <w:r>
        <w:rPr>
          <w:rFonts w:hint="eastAsia" w:ascii="宋体" w:hAnsi="宋体" w:eastAsia="宋体" w:cs="宋体"/>
          <w:b/>
          <w:color w:val="auto"/>
          <w:sz w:val="24"/>
          <w:highlight w:val="none"/>
        </w:rPr>
        <w:t>（格式）</w:t>
      </w:r>
    </w:p>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请逐条对应采购文件的第三章“货物需求一览表”中要求的技术要求，认真填写该表。</w:t>
      </w:r>
    </w:p>
    <w:tbl>
      <w:tblPr>
        <w:tblStyle w:val="21"/>
        <w:tblW w:w="9324" w:type="dxa"/>
        <w:tblInd w:w="402" w:type="dxa"/>
        <w:tblLayout w:type="fixed"/>
        <w:tblCellMar>
          <w:top w:w="0" w:type="dxa"/>
          <w:left w:w="0" w:type="dxa"/>
          <w:bottom w:w="0" w:type="dxa"/>
          <w:right w:w="0" w:type="dxa"/>
        </w:tblCellMar>
      </w:tblPr>
      <w:tblGrid>
        <w:gridCol w:w="1135"/>
        <w:gridCol w:w="1372"/>
        <w:gridCol w:w="2997"/>
        <w:gridCol w:w="2560"/>
        <w:gridCol w:w="1260"/>
      </w:tblGrid>
      <w:tr>
        <w:tblPrEx>
          <w:tblCellMar>
            <w:top w:w="0" w:type="dxa"/>
            <w:left w:w="0" w:type="dxa"/>
            <w:bottom w:w="0" w:type="dxa"/>
            <w:right w:w="0" w:type="dxa"/>
          </w:tblCellMar>
        </w:tblPrEx>
        <w:trPr>
          <w:trHeight w:val="555"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货物名称</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采购技术要求</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竞标技术规格</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CellMar>
            <w:top w:w="0" w:type="dxa"/>
            <w:left w:w="0" w:type="dxa"/>
            <w:bottom w:w="0" w:type="dxa"/>
            <w:right w:w="0" w:type="dxa"/>
          </w:tblCellMar>
        </w:tblPrEx>
        <w:trPr>
          <w:trHeight w:val="4593" w:hRule="atLeast"/>
        </w:trPr>
        <w:tc>
          <w:tcPr>
            <w:tcW w:w="11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37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99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25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44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 </w:t>
            </w:r>
          </w:p>
        </w:tc>
      </w:tr>
    </w:tbl>
    <w:p>
      <w:pPr>
        <w:shd w:val="clear" w:color="auto" w:fill="FFFFFF"/>
        <w:spacing w:line="44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注：</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1、竞标技术规格由供应商按照响应文件货物需求一览表对应的技术参数及性能进行填写。</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2、此表竞标技术规格与竞标报价表和产品检验报告证书的技术指标不符的，以产品检验报告证书的技术指标为准。</w:t>
      </w:r>
    </w:p>
    <w:p>
      <w:pPr>
        <w:shd w:val="clear" w:color="auto" w:fill="FFFFFF"/>
        <w:spacing w:line="440" w:lineRule="exact"/>
        <w:ind w:left="780" w:hanging="360"/>
        <w:rPr>
          <w:rFonts w:ascii="宋体" w:hAnsi="宋体" w:eastAsia="宋体" w:cs="宋体"/>
          <w:color w:val="auto"/>
          <w:szCs w:val="21"/>
          <w:highlight w:val="none"/>
        </w:rPr>
      </w:pPr>
      <w:r>
        <w:rPr>
          <w:rFonts w:hint="eastAsia" w:ascii="宋体" w:hAnsi="宋体" w:eastAsia="宋体" w:cs="宋体"/>
          <w:color w:val="auto"/>
          <w:szCs w:val="21"/>
          <w:highlight w:val="none"/>
        </w:rPr>
        <w:t>3、竞标技术规格与采购技术要求相同的为无偏离，竞标技术规格高于采购技术要求的为正偏离，低于采购技术要求的为负偏离。</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供应商（公章）：</w:t>
      </w:r>
      <w:r>
        <w:rPr>
          <w:rFonts w:hint="eastAsia" w:ascii="宋体" w:hAnsi="宋体" w:eastAsia="宋体" w:cs="宋体"/>
          <w:color w:val="auto"/>
          <w:szCs w:val="21"/>
          <w:highlight w:val="none"/>
          <w:u w:val="single"/>
        </w:rPr>
        <w:t>               </w:t>
      </w:r>
    </w:p>
    <w:p>
      <w:pPr>
        <w:shd w:val="clear" w:color="auto" w:fill="FFFFFF"/>
        <w:spacing w:line="44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               法定代表人或委托代理人签字：</w:t>
      </w:r>
      <w:r>
        <w:rPr>
          <w:rFonts w:hint="eastAsia" w:ascii="宋体" w:hAnsi="宋体" w:eastAsia="宋体" w:cs="宋体"/>
          <w:color w:val="auto"/>
          <w:szCs w:val="21"/>
          <w:highlight w:val="none"/>
          <w:u w:val="single"/>
        </w:rPr>
        <w:t>    </w:t>
      </w:r>
    </w:p>
    <w:p>
      <w:pPr>
        <w:shd w:val="clear" w:color="auto" w:fill="FFFFFF"/>
        <w:spacing w:line="440" w:lineRule="exact"/>
        <w:ind w:firstLine="5040"/>
        <w:rPr>
          <w:rFonts w:ascii="宋体" w:hAnsi="宋体" w:eastAsia="宋体" w:cs="宋体"/>
          <w:color w:val="auto"/>
          <w:szCs w:val="21"/>
          <w:highlight w:val="none"/>
        </w:rPr>
      </w:pPr>
      <w:r>
        <w:rPr>
          <w:rFonts w:hint="eastAsia" w:ascii="宋体" w:hAnsi="宋体" w:eastAsia="宋体" w:cs="宋体"/>
          <w:color w:val="auto"/>
          <w:szCs w:val="21"/>
          <w:highlight w:val="none"/>
        </w:rPr>
        <w:t> 日期：</w:t>
      </w:r>
      <w:r>
        <w:rPr>
          <w:rFonts w:hint="eastAsia" w:ascii="宋体" w:hAnsi="宋体" w:eastAsia="宋体" w:cs="宋体"/>
          <w:color w:val="auto"/>
          <w:szCs w:val="21"/>
          <w:highlight w:val="none"/>
          <w:u w:val="single"/>
        </w:rPr>
        <w:t>              </w:t>
      </w:r>
    </w:p>
    <w:p>
      <w:pPr>
        <w:spacing w:after="0" w:line="500" w:lineRule="exact"/>
        <w:jc w:val="both"/>
        <w:rPr>
          <w:rFonts w:ascii="宋体" w:hAnsi="宋体" w:eastAsia="宋体" w:cs="宋体"/>
          <w:b/>
          <w:bCs/>
          <w:color w:val="auto"/>
          <w:sz w:val="28"/>
          <w:szCs w:val="28"/>
          <w:highlight w:val="none"/>
        </w:rPr>
      </w:pPr>
    </w:p>
    <w:p>
      <w:pPr>
        <w:pStyle w:val="5"/>
        <w:rPr>
          <w:rFonts w:ascii="宋体" w:hAnsi="宋体" w:eastAsia="宋体" w:cs="宋体"/>
          <w:color w:val="auto"/>
          <w:highlight w:val="none"/>
        </w:rPr>
      </w:pPr>
    </w:p>
    <w:p>
      <w:pPr>
        <w:spacing w:after="0" w:line="500" w:lineRule="exact"/>
        <w:ind w:left="420"/>
        <w:jc w:val="center"/>
        <w:rPr>
          <w:rFonts w:ascii="宋体" w:hAnsi="宋体" w:eastAsia="宋体" w:cs="宋体"/>
          <w:b/>
          <w:bCs/>
          <w:color w:val="auto"/>
          <w:sz w:val="28"/>
          <w:szCs w:val="28"/>
          <w:highlight w:val="none"/>
        </w:rPr>
      </w:pPr>
    </w:p>
    <w:p>
      <w:pPr>
        <w:rPr>
          <w:rFonts w:ascii="宋体" w:hAnsi="宋体" w:eastAsia="宋体" w:cs="宋体"/>
          <w:color w:val="auto"/>
          <w:sz w:val="24"/>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法定代表人（负责人）身份证明</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4"/>
          <w:highlight w:val="none"/>
        </w:rPr>
      </w:pP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年     月     日</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pPr>
        <w:spacing w:line="500" w:lineRule="exact"/>
        <w:ind w:firstLine="878" w:firstLineChars="366"/>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00" w:lineRule="exact"/>
        <w:rPr>
          <w:rFonts w:ascii="宋体" w:hAnsi="宋体" w:eastAsia="宋体" w:cs="宋体"/>
          <w:color w:val="auto"/>
          <w:sz w:val="24"/>
          <w:highlight w:val="none"/>
        </w:rPr>
      </w:pPr>
      <w:r>
        <w:rPr>
          <w:rFonts w:hint="eastAsia" w:ascii="宋体" w:hAnsi="宋体" w:eastAsia="宋体" w:cs="宋体"/>
          <w:color w:val="auto"/>
          <w:sz w:val="24"/>
          <w:highlight w:val="none"/>
        </w:rPr>
        <w:t>附：法定代表人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身份证复印件。</w:t>
      </w:r>
    </w:p>
    <w:p>
      <w:pPr>
        <w:spacing w:line="500" w:lineRule="exact"/>
        <w:rPr>
          <w:rFonts w:ascii="宋体" w:hAnsi="宋体" w:eastAsia="宋体" w:cs="宋体"/>
          <w:color w:val="auto"/>
          <w:sz w:val="24"/>
          <w:highlight w:val="none"/>
        </w:rPr>
      </w:pPr>
    </w:p>
    <w:p>
      <w:pPr>
        <w:spacing w:line="400" w:lineRule="exact"/>
        <w:rPr>
          <w:rFonts w:ascii="宋体" w:hAnsi="宋体" w:eastAsia="宋体" w:cs="宋体"/>
          <w:color w:val="auto"/>
          <w:sz w:val="24"/>
          <w:highlight w:val="none"/>
        </w:rPr>
      </w:pPr>
    </w:p>
    <w:p>
      <w:pPr>
        <w:keepNext/>
        <w:keepLines/>
        <w:spacing w:line="380" w:lineRule="exact"/>
        <w:jc w:val="center"/>
        <w:rPr>
          <w:rFonts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line="380" w:lineRule="exact"/>
        <w:jc w:val="center"/>
        <w:rPr>
          <w:rFonts w:ascii="宋体" w:hAnsi="宋体" w:eastAsia="宋体" w:cs="宋体"/>
          <w:b/>
          <w:color w:val="auto"/>
          <w:sz w:val="28"/>
          <w:highlight w:val="none"/>
        </w:rPr>
      </w:pPr>
      <w:r>
        <w:rPr>
          <w:rFonts w:hint="eastAsia" w:ascii="宋体" w:hAnsi="宋体" w:eastAsia="宋体" w:cs="宋体"/>
          <w:b/>
          <w:color w:val="auto"/>
          <w:sz w:val="28"/>
          <w:highlight w:val="none"/>
        </w:rPr>
        <w:t>授权委托书</w:t>
      </w:r>
      <w:r>
        <w:rPr>
          <w:rFonts w:hint="eastAsia" w:ascii="宋体" w:hAnsi="宋体" w:eastAsia="宋体" w:cs="宋体"/>
          <w:b/>
          <w:color w:val="auto"/>
          <w:sz w:val="24"/>
          <w:highlight w:val="none"/>
        </w:rPr>
        <w:t>（格式）</w:t>
      </w:r>
    </w:p>
    <w:p>
      <w:pPr>
        <w:spacing w:line="500" w:lineRule="exact"/>
        <w:rPr>
          <w:rFonts w:ascii="宋体" w:hAnsi="宋体" w:eastAsia="宋体" w:cs="宋体"/>
          <w:color w:val="auto"/>
          <w:sz w:val="28"/>
          <w:highlight w:val="none"/>
        </w:rPr>
      </w:pP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的法定代表人，现委托</w:t>
      </w:r>
      <w:r>
        <w:rPr>
          <w:rFonts w:hint="eastAsia" w:ascii="宋体" w:hAnsi="宋体" w:eastAsia="宋体" w:cs="宋体"/>
          <w:color w:val="auto"/>
          <w:sz w:val="24"/>
          <w:highlight w:val="none"/>
          <w:u w:val="single"/>
        </w:rPr>
        <w:t xml:space="preserve">            （姓名）</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响应文件、签订合同和处理有关事宜，其法律后果由我方承担。</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pPr>
        <w:spacing w:line="5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附：委托代理人身份证复印件</w:t>
      </w:r>
    </w:p>
    <w:p>
      <w:pPr>
        <w:spacing w:line="500" w:lineRule="exact"/>
        <w:rPr>
          <w:rFonts w:ascii="宋体" w:hAnsi="宋体" w:eastAsia="宋体" w:cs="宋体"/>
          <w:color w:val="auto"/>
          <w:sz w:val="24"/>
          <w:highlight w:val="none"/>
        </w:rPr>
      </w:pPr>
    </w:p>
    <w:p>
      <w:pPr>
        <w:spacing w:line="500" w:lineRule="exact"/>
        <w:rPr>
          <w:rFonts w:ascii="宋体" w:hAnsi="宋体" w:eastAsia="宋体" w:cs="宋体"/>
          <w:color w:val="auto"/>
          <w:sz w:val="24"/>
          <w:highlight w:val="none"/>
        </w:rPr>
      </w:pP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（单位名称并盖公章）     </w:t>
      </w:r>
    </w:p>
    <w:p>
      <w:pPr>
        <w:spacing w:line="500" w:lineRule="exact"/>
        <w:ind w:firstLine="4560" w:firstLineChars="1900"/>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szCs w:val="24"/>
          <w:highlight w:val="none"/>
        </w:rPr>
        <w:t>（负责人）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（签字）</w:t>
      </w:r>
    </w:p>
    <w:p>
      <w:pPr>
        <w:spacing w:line="500" w:lineRule="exact"/>
        <w:ind w:firstLine="4560"/>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pPr>
        <w:spacing w:line="500" w:lineRule="exact"/>
        <w:ind w:firstLine="4560" w:firstLineChars="1900"/>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rPr>
          <w:rFonts w:ascii="宋体" w:hAnsi="宋体" w:eastAsia="宋体" w:cs="宋体"/>
          <w:color w:val="auto"/>
          <w:sz w:val="24"/>
          <w:highlight w:val="none"/>
        </w:rPr>
      </w:pPr>
    </w:p>
    <w:p>
      <w:pPr>
        <w:spacing w:before="50" w:after="120" w:afterLines="50" w:line="360" w:lineRule="auto"/>
        <w:jc w:val="center"/>
        <w:rPr>
          <w:rFonts w:ascii="宋体" w:hAnsi="宋体" w:eastAsia="宋体" w:cs="宋体"/>
          <w:color w:val="auto"/>
          <w:sz w:val="24"/>
          <w:highlight w:val="none"/>
          <w:lang w:val="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投标人直接控股股东信息表（格式）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828"/>
        <w:gridCol w:w="2269"/>
        <w:gridCol w:w="1239"/>
        <w:gridCol w:w="3887"/>
        <w:gridCol w:w="1253"/>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出资比例</w:t>
            </w:r>
          </w:p>
        </w:tc>
        <w:tc>
          <w:tcPr>
            <w:tcW w:w="38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身份证号码或者统一社会信用代码</w:t>
            </w:r>
          </w:p>
        </w:tc>
        <w:tc>
          <w:tcPr>
            <w:tcW w:w="125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8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125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lang w:val="zh-CN"/>
        </w:rPr>
      </w:pP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2.本表所指的控股关系仅限于直接控股关系，不包括间接的控股关系。公司实际控制人与公司之间的关系不属于本表所指的直接控股关系。</w:t>
      </w:r>
    </w:p>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3.投标人不存在直接控股股东的，则填“无”。</w:t>
      </w:r>
    </w:p>
    <w:p>
      <w:pPr>
        <w:spacing w:line="360" w:lineRule="auto"/>
        <w:ind w:firstLine="576"/>
        <w:jc w:val="center"/>
        <w:rPr>
          <w:rFonts w:ascii="宋体" w:hAnsi="宋体" w:eastAsia="宋体" w:cs="宋体"/>
          <w:color w:val="auto"/>
          <w:sz w:val="21"/>
          <w:szCs w:val="21"/>
          <w:highlight w:val="none"/>
          <w:lang w:val="zh-CN"/>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p>
    <w:p>
      <w:pPr>
        <w:spacing w:line="360" w:lineRule="auto"/>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t>投标人直接管理关系信息表（格式）</w:t>
      </w:r>
    </w:p>
    <w:tbl>
      <w:tblPr>
        <w:tblStyle w:val="21"/>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eastAsia="宋体" w:cs="宋体"/>
                <w:color w:val="auto"/>
                <w:sz w:val="21"/>
                <w:szCs w:val="21"/>
                <w:highlight w:val="none"/>
              </w:rPr>
            </w:pPr>
          </w:p>
        </w:tc>
      </w:tr>
    </w:tbl>
    <w:p>
      <w:pPr>
        <w:spacing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1.管理关系：是指不具有出资持股关系的其他单位之间存在的管理与被管理关系，如一些上下级关系的事业单位和团体组织。</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6"/>
          <w:sz w:val="21"/>
          <w:szCs w:val="21"/>
          <w:highlight w:val="none"/>
        </w:rPr>
        <w:t>本表所指的管理关系仅限于直接管理关系，不包括间接的管理关系。</w:t>
      </w:r>
    </w:p>
    <w:p>
      <w:pPr>
        <w:spacing w:line="360" w:lineRule="auto"/>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3.投标人不存在直接管理关系的，则填“无”。</w:t>
      </w:r>
    </w:p>
    <w:p>
      <w:pPr>
        <w:spacing w:line="360" w:lineRule="auto"/>
        <w:rPr>
          <w:rFonts w:ascii="宋体" w:hAnsi="宋体" w:eastAsia="宋体" w:cs="宋体"/>
          <w:color w:val="auto"/>
          <w:sz w:val="21"/>
          <w:szCs w:val="21"/>
          <w:highlight w:val="none"/>
        </w:rPr>
      </w:pPr>
    </w:p>
    <w:p>
      <w:pPr>
        <w:spacing w:line="360" w:lineRule="auto"/>
        <w:ind w:firstLine="576"/>
        <w:jc w:val="center"/>
        <w:rPr>
          <w:rFonts w:ascii="宋体" w:hAnsi="宋体" w:eastAsia="宋体" w:cs="宋体"/>
          <w:color w:val="auto"/>
          <w:sz w:val="21"/>
          <w:szCs w:val="21"/>
          <w:highlight w:val="none"/>
          <w:lang w:val="zh-CN"/>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9"/>
        <w:rPr>
          <w:rFonts w:ascii="宋体" w:hAnsi="宋体" w:cs="宋体"/>
          <w:color w:val="auto"/>
          <w:highlight w:val="none"/>
        </w:rPr>
      </w:pPr>
    </w:p>
    <w:p>
      <w:pPr>
        <w:spacing w:after="156" w:line="400" w:lineRule="exact"/>
        <w:ind w:right="-285"/>
        <w:rPr>
          <w:rFonts w:ascii="宋体" w:hAnsi="宋体" w:eastAsia="宋体" w:cs="宋体"/>
          <w:color w:val="auto"/>
          <w:sz w:val="18"/>
          <w:highlight w:val="none"/>
        </w:rPr>
      </w:pPr>
    </w:p>
    <w:p>
      <w:pPr>
        <w:spacing w:line="360" w:lineRule="auto"/>
        <w:jc w:val="center"/>
        <w:rPr>
          <w:rFonts w:ascii="宋体" w:hAnsi="宋体" w:eastAsia="宋体" w:cs="宋体"/>
          <w:bCs/>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44"/>
          <w:szCs w:val="44"/>
          <w:highlight w:val="none"/>
        </w:rPr>
        <w:t>竞标声明（格式）</w:t>
      </w:r>
    </w:p>
    <w:p>
      <w:pPr>
        <w:spacing w:line="320" w:lineRule="exact"/>
        <w:jc w:val="center"/>
        <w:rPr>
          <w:rFonts w:ascii="宋体" w:hAnsi="宋体" w:eastAsia="宋体" w:cs="宋体"/>
          <w:color w:val="auto"/>
          <w:sz w:val="24"/>
          <w:szCs w:val="20"/>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（1）将按谈判文件的约定履行合同责任和义务；</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（2）已详细审查全部谈判文件，包括补遗文件（如有）；</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（4）响应谈判文件规定的竞标有效期。</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□我方本次响应文件内容中未涉及商业秘密；</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□我方本次响应文件涉及商业秘密的内容有：</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360" w:lineRule="auto"/>
        <w:ind w:firstLine="480" w:firstLineChars="2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7.与本谈判有关的一切正式往来信函请寄：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邮政编号：</w:t>
      </w:r>
      <w:r>
        <w:rPr>
          <w:rFonts w:hint="eastAsia" w:ascii="宋体" w:hAnsi="宋体" w:eastAsia="宋体" w:cs="宋体"/>
          <w:color w:val="auto"/>
          <w:sz w:val="24"/>
          <w:highlight w:val="none"/>
          <w:u w:val="single"/>
        </w:rPr>
        <w:t xml:space="preserve">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电话/传真：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电子函件：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pPr>
        <w:tabs>
          <w:tab w:val="left" w:pos="939"/>
        </w:tabs>
        <w:spacing w:line="360" w:lineRule="auto"/>
        <w:ind w:left="147" w:leftChars="67" w:firstLine="360" w:firstLineChars="150"/>
        <w:contextualSpacing/>
        <w:rPr>
          <w:rFonts w:ascii="宋体" w:hAnsi="宋体" w:eastAsia="宋体" w:cs="宋体"/>
          <w:color w:val="auto"/>
          <w:sz w:val="24"/>
          <w:highlight w:val="none"/>
        </w:rPr>
      </w:pPr>
      <w:r>
        <w:rPr>
          <w:rFonts w:hint="eastAsia" w:ascii="宋体" w:hAnsi="宋体" w:eastAsia="宋体" w:cs="宋体"/>
          <w:color w:val="auto"/>
          <w:sz w:val="24"/>
          <w:highlight w:val="none"/>
        </w:rPr>
        <w:t>特此承诺。</w:t>
      </w:r>
    </w:p>
    <w:p>
      <w:pPr>
        <w:spacing w:line="360" w:lineRule="auto"/>
        <w:contextualSpacing/>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    注：如为联合体竞标，盖章处须加盖联合体各方公章并由联合体各方法定代表人分别签署，否则响应文件按无效处理。</w:t>
      </w:r>
    </w:p>
    <w:p>
      <w:pPr>
        <w:spacing w:line="360" w:lineRule="auto"/>
        <w:contextualSpacing/>
        <w:rPr>
          <w:rFonts w:ascii="宋体" w:hAnsi="宋体" w:eastAsia="宋体" w:cs="宋体"/>
          <w:color w:val="auto"/>
          <w:szCs w:val="21"/>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jc w:val="center"/>
        <w:rPr>
          <w:rFonts w:ascii="宋体" w:hAnsi="宋体" w:eastAsia="宋体" w:cs="宋体"/>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44"/>
          <w:szCs w:val="44"/>
          <w:highlight w:val="none"/>
        </w:rPr>
        <w:t>无串通竞标行为的承诺函</w:t>
      </w:r>
    </w:p>
    <w:p>
      <w:pPr>
        <w:spacing w:line="400" w:lineRule="exact"/>
        <w:ind w:firstLine="640" w:firstLineChars="200"/>
        <w:rPr>
          <w:rFonts w:ascii="宋体" w:hAnsi="宋体" w:eastAsia="宋体" w:cs="宋体"/>
          <w:color w:val="auto"/>
          <w:sz w:val="32"/>
          <w:szCs w:val="32"/>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pPr>
        <w:spacing w:line="360" w:lineRule="auto"/>
        <w:ind w:firstLine="480" w:firstLineChars="2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pPr>
        <w:spacing w:line="360" w:lineRule="auto"/>
        <w:ind w:firstLine="480" w:firstLineChars="200"/>
        <w:contextualSpacing/>
        <w:rPr>
          <w:rFonts w:ascii="宋体" w:hAnsi="宋体" w:eastAsia="宋体" w:cs="宋体"/>
          <w:color w:val="auto"/>
          <w:sz w:val="24"/>
          <w:highlight w:val="none"/>
        </w:rPr>
      </w:pPr>
    </w:p>
    <w:p>
      <w:pPr>
        <w:spacing w:line="360" w:lineRule="auto"/>
        <w:ind w:firstLine="482" w:firstLineChars="200"/>
        <w:contextualSpacing/>
        <w:rPr>
          <w:rFonts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360" w:lineRule="auto"/>
        <w:ind w:right="480" w:firstLine="6160" w:firstLineChars="2200"/>
        <w:contextualSpacing/>
        <w:rPr>
          <w:rFonts w:ascii="宋体" w:hAnsi="宋体" w:eastAsia="宋体" w:cs="宋体"/>
          <w:color w:val="auto"/>
          <w:sz w:val="28"/>
          <w:szCs w:val="28"/>
          <w:highlight w:val="none"/>
        </w:rPr>
      </w:pPr>
    </w:p>
    <w:p>
      <w:pPr>
        <w:spacing w:before="120" w:beforeLines="50" w:after="50"/>
        <w:rPr>
          <w:rFonts w:ascii="宋体" w:hAnsi="宋体" w:eastAsia="宋体" w:cs="宋体"/>
          <w:color w:val="auto"/>
          <w:szCs w:val="21"/>
          <w:highlight w:val="none"/>
        </w:rPr>
      </w:pPr>
    </w:p>
    <w:p>
      <w:pPr>
        <w:spacing w:line="220" w:lineRule="atLeast"/>
        <w:rPr>
          <w:rFonts w:ascii="宋体" w:hAnsi="宋体" w:eastAsia="宋体" w:cs="宋体"/>
          <w:color w:val="auto"/>
          <w:highlight w:val="none"/>
        </w:rPr>
      </w:pPr>
    </w:p>
    <w:p>
      <w:pPr>
        <w:spacing w:line="360" w:lineRule="auto"/>
        <w:contextualSpacing/>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商务要求偏离表格式</w:t>
      </w:r>
    </w:p>
    <w:p>
      <w:pPr>
        <w:spacing w:line="360" w:lineRule="auto"/>
        <w:contextualSpacing/>
        <w:jc w:val="center"/>
        <w:rPr>
          <w:rFonts w:ascii="宋体" w:hAnsi="宋体" w:eastAsia="宋体" w:cs="宋体"/>
          <w:b/>
          <w:color w:val="auto"/>
          <w:sz w:val="32"/>
          <w:szCs w:val="32"/>
          <w:highlight w:val="none"/>
        </w:rPr>
      </w:pPr>
      <w:r>
        <w:rPr>
          <w:rFonts w:hint="eastAsia" w:ascii="宋体" w:hAnsi="宋体" w:eastAsia="宋体" w:cs="宋体"/>
          <w:bCs/>
          <w:color w:val="auto"/>
          <w:sz w:val="32"/>
          <w:szCs w:val="32"/>
          <w:highlight w:val="none"/>
        </w:rPr>
        <w:t>（注：按采购需求具体条款修改）</w:t>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bookmarkStart w:id="48" w:name="_Hlk48036267"/>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margin" w:tblpY="311"/>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917"/>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谈判文件商务要求</w:t>
            </w: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交付（实施）的时间（期限）和地点（范围）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17"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采购需求”中的商务要求逐条作出明确响应，并作出偏离说明。</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2.供应商应根据自身的承诺，对照谈判文件要求在“偏离说明”中注明“正偏离”、“负偏离”或者“无偏离”。既不属于“正偏离”也不属于“负偏离”即为“无偏离”。</w:t>
      </w:r>
    </w:p>
    <w:p>
      <w:pPr>
        <w:spacing w:line="360" w:lineRule="auto"/>
        <w:contextualSpacing/>
        <w:rPr>
          <w:rFonts w:ascii="宋体" w:hAnsi="宋体" w:eastAsia="宋体" w:cs="宋体"/>
          <w:color w:val="auto"/>
          <w:sz w:val="24"/>
          <w:highlight w:val="none"/>
          <w:u w:val="single"/>
        </w:rPr>
      </w:pPr>
    </w:p>
    <w:p>
      <w:pPr>
        <w:spacing w:line="360" w:lineRule="auto"/>
        <w:ind w:right="-856" w:rightChars="-389"/>
        <w:contextualSpacing/>
        <w:rPr>
          <w:rFonts w:ascii="宋体" w:hAnsi="宋体" w:eastAsia="宋体" w:cs="宋体"/>
          <w:color w:val="auto"/>
          <w:sz w:val="24"/>
          <w:highlight w:val="none"/>
        </w:rPr>
      </w:pPr>
    </w:p>
    <w:bookmarkEnd w:id="48"/>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spacing w:line="520" w:lineRule="exact"/>
        <w:ind w:firstLine="7040" w:firstLineChars="1600"/>
        <w:jc w:val="center"/>
        <w:rPr>
          <w:rFonts w:ascii="宋体" w:hAnsi="宋体" w:eastAsia="宋体" w:cs="宋体"/>
          <w:bCs/>
          <w:color w:val="auto"/>
          <w:sz w:val="44"/>
          <w:szCs w:val="44"/>
          <w:highlight w:val="none"/>
        </w:rPr>
      </w:pPr>
    </w:p>
    <w:p>
      <w:pPr>
        <w:pStyle w:val="14"/>
        <w:rPr>
          <w:rFonts w:ascii="宋体" w:hAnsi="宋体" w:eastAsia="宋体" w:cs="宋体"/>
          <w:bCs/>
          <w:color w:val="auto"/>
          <w:sz w:val="44"/>
          <w:szCs w:val="44"/>
          <w:highlight w:val="none"/>
        </w:rPr>
      </w:pPr>
    </w:p>
    <w:p>
      <w:pPr>
        <w:spacing w:line="520" w:lineRule="exact"/>
        <w:jc w:val="center"/>
        <w:rPr>
          <w:rFonts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pPr>
        <w:spacing w:line="300" w:lineRule="auto"/>
        <w:rPr>
          <w:rFonts w:ascii="宋体" w:hAnsi="宋体" w:eastAsia="宋体" w:cs="宋体"/>
          <w:color w:val="auto"/>
          <w:szCs w:val="21"/>
          <w:highlight w:val="none"/>
        </w:rPr>
      </w:pP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3"/>
        <w:gridCol w:w="1372"/>
        <w:gridCol w:w="885"/>
        <w:gridCol w:w="985"/>
        <w:gridCol w:w="1967"/>
        <w:gridCol w:w="1372"/>
        <w:gridCol w:w="812"/>
        <w:gridCol w:w="16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tcPr>
          <w:p>
            <w:pPr>
              <w:spacing w:before="50" w:after="50"/>
              <w:jc w:val="center"/>
              <w:rPr>
                <w:rFonts w:ascii="宋体" w:hAnsi="宋体" w:eastAsia="宋体" w:cs="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vAlign w:val="center"/>
          </w:tcPr>
          <w:p>
            <w:pPr>
              <w:spacing w:before="50" w:after="50"/>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备注：</w:t>
      </w:r>
    </w:p>
    <w:p>
      <w:pPr>
        <w:tabs>
          <w:tab w:val="left" w:pos="1065"/>
        </w:tabs>
        <w:spacing w:line="360" w:lineRule="auto"/>
        <w:contextualSpacing/>
        <w:rPr>
          <w:rFonts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货物名称、数量及单位、品牌必须与“竞标报价表”一致，</w:t>
      </w:r>
      <w:r>
        <w:rPr>
          <w:rFonts w:hint="eastAsia" w:ascii="宋体" w:hAnsi="宋体" w:eastAsia="宋体" w:cs="宋体"/>
          <w:bCs/>
          <w:color w:val="auto"/>
          <w:sz w:val="24"/>
          <w:highlight w:val="none"/>
        </w:rPr>
        <w:t>否则响应文件按无效处理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spacing w:line="520" w:lineRule="exact"/>
        <w:rPr>
          <w:rFonts w:ascii="宋体" w:hAnsi="宋体" w:eastAsia="宋体" w:cs="宋体"/>
          <w:bCs/>
          <w:color w:val="auto"/>
          <w:sz w:val="44"/>
          <w:szCs w:val="44"/>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pStyle w:val="14"/>
        <w:rPr>
          <w:rFonts w:ascii="宋体" w:hAnsi="宋体" w:eastAsia="宋体" w:cs="宋体"/>
          <w:color w:val="auto"/>
          <w:highlight w:val="none"/>
        </w:rPr>
      </w:pPr>
    </w:p>
    <w:p>
      <w:pPr>
        <w:spacing w:line="300" w:lineRule="auto"/>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技术要求偏离表</w:t>
      </w:r>
    </w:p>
    <w:p>
      <w:pPr>
        <w:spacing w:line="360" w:lineRule="auto"/>
        <w:contextualSpacing/>
        <w:rPr>
          <w:rFonts w:ascii="宋体" w:hAnsi="宋体" w:eastAsia="宋体" w:cs="宋体"/>
          <w:color w:val="auto"/>
          <w:sz w:val="32"/>
          <w:szCs w:val="32"/>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1"/>
        <w:gridCol w:w="881"/>
        <w:gridCol w:w="2927"/>
        <w:gridCol w:w="2634"/>
        <w:gridCol w:w="14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49" w:name="_Toc383699906"/>
            <w:bookmarkStart w:id="50" w:name="_Toc373333689"/>
            <w:bookmarkStart w:id="51" w:name="_Toc173066401"/>
            <w:bookmarkStart w:id="52" w:name="_Toc254970588"/>
            <w:bookmarkStart w:id="53" w:name="_Toc254970729"/>
            <w:bookmarkStart w:id="54" w:name="_Toc173211900"/>
            <w:bookmarkStart w:id="55" w:name="_Toc297193185"/>
            <w:bookmarkStart w:id="56" w:name="_Toc301781611"/>
            <w:bookmarkStart w:id="57" w:name="_Toc295404981"/>
            <w:r>
              <w:rPr>
                <w:rFonts w:hint="eastAsia" w:ascii="宋体" w:hAnsi="宋体" w:eastAsia="宋体" w:cs="宋体"/>
                <w:color w:val="auto"/>
                <w:sz w:val="24"/>
                <w:highlight w:val="none"/>
              </w:rPr>
              <w:t>序号</w:t>
            </w:r>
            <w:bookmarkEnd w:id="49"/>
            <w:bookmarkEnd w:id="50"/>
            <w:bookmarkEnd w:id="51"/>
            <w:bookmarkEnd w:id="52"/>
            <w:bookmarkEnd w:id="53"/>
            <w:bookmarkEnd w:id="54"/>
            <w:bookmarkEnd w:id="55"/>
            <w:bookmarkEnd w:id="56"/>
            <w:bookmarkEnd w:id="57"/>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bookmarkStart w:id="58" w:name="_Toc295404982"/>
            <w:bookmarkStart w:id="59" w:name="_Toc173066402"/>
            <w:bookmarkStart w:id="60" w:name="_Toc297193186"/>
            <w:bookmarkStart w:id="61" w:name="_Toc383699907"/>
            <w:bookmarkStart w:id="62" w:name="_Toc301781612"/>
            <w:bookmarkStart w:id="63" w:name="_Toc254970589"/>
            <w:bookmarkStart w:id="64" w:name="_Toc254970730"/>
            <w:bookmarkStart w:id="65" w:name="_Toc173211901"/>
            <w:bookmarkStart w:id="66" w:name="_Toc373333690"/>
            <w:r>
              <w:rPr>
                <w:rFonts w:hint="eastAsia" w:ascii="宋体" w:hAnsi="宋体" w:eastAsia="宋体" w:cs="宋体"/>
                <w:color w:val="auto"/>
                <w:sz w:val="24"/>
                <w:highlight w:val="none"/>
              </w:rPr>
              <w:t>谈判文件要求</w:t>
            </w:r>
            <w:bookmarkEnd w:id="58"/>
            <w:bookmarkEnd w:id="59"/>
            <w:bookmarkEnd w:id="60"/>
            <w:bookmarkEnd w:id="61"/>
            <w:bookmarkEnd w:id="62"/>
            <w:bookmarkEnd w:id="63"/>
            <w:bookmarkEnd w:id="64"/>
            <w:bookmarkEnd w:id="65"/>
            <w:bookmarkEnd w:id="66"/>
          </w:p>
        </w:tc>
        <w:tc>
          <w:tcPr>
            <w:tcW w:w="2634" w:type="dxa"/>
            <w:vAlign w:val="center"/>
          </w:tcPr>
          <w:p>
            <w:pPr>
              <w:spacing w:line="360" w:lineRule="auto"/>
              <w:contextualSpacing/>
              <w:jc w:val="center"/>
              <w:rPr>
                <w:rFonts w:ascii="宋体" w:hAnsi="宋体" w:eastAsia="宋体" w:cs="宋体"/>
                <w:color w:val="auto"/>
                <w:sz w:val="24"/>
                <w:highlight w:val="none"/>
              </w:rPr>
            </w:pPr>
            <w:bookmarkStart w:id="67" w:name="_Toc173211902"/>
            <w:bookmarkStart w:id="68" w:name="_Toc373333691"/>
            <w:bookmarkStart w:id="69" w:name="_Toc297193187"/>
            <w:bookmarkStart w:id="70" w:name="_Toc295404983"/>
            <w:bookmarkStart w:id="71" w:name="_Toc254970590"/>
            <w:bookmarkStart w:id="72" w:name="_Toc383699908"/>
            <w:bookmarkStart w:id="73" w:name="_Toc301781613"/>
            <w:bookmarkStart w:id="74" w:name="_Toc173066403"/>
            <w:bookmarkStart w:id="75" w:name="_Toc254970731"/>
            <w:r>
              <w:rPr>
                <w:rFonts w:hint="eastAsia" w:ascii="宋体" w:hAnsi="宋体" w:eastAsia="宋体" w:cs="宋体"/>
                <w:color w:val="auto"/>
                <w:sz w:val="24"/>
                <w:highlight w:val="none"/>
              </w:rPr>
              <w:t>竞标响应</w:t>
            </w:r>
            <w:bookmarkEnd w:id="67"/>
            <w:bookmarkEnd w:id="68"/>
            <w:bookmarkEnd w:id="69"/>
            <w:bookmarkEnd w:id="70"/>
            <w:bookmarkEnd w:id="71"/>
            <w:bookmarkEnd w:id="72"/>
            <w:bookmarkEnd w:id="73"/>
            <w:bookmarkEnd w:id="74"/>
            <w:bookmarkEnd w:id="75"/>
          </w:p>
        </w:tc>
        <w:tc>
          <w:tcPr>
            <w:tcW w:w="1437" w:type="dxa"/>
            <w:vAlign w:val="center"/>
          </w:tcPr>
          <w:p>
            <w:pPr>
              <w:spacing w:line="360" w:lineRule="auto"/>
              <w:contextualSpacing/>
              <w:jc w:val="center"/>
              <w:rPr>
                <w:rFonts w:ascii="宋体" w:hAnsi="宋体" w:eastAsia="宋体" w:cs="宋体"/>
                <w:color w:val="auto"/>
                <w:sz w:val="24"/>
                <w:highlight w:val="none"/>
              </w:rPr>
            </w:pPr>
            <w:bookmarkStart w:id="76" w:name="_Toc301781614"/>
            <w:bookmarkStart w:id="77" w:name="_Toc297193188"/>
            <w:bookmarkStart w:id="78" w:name="_Toc383699909"/>
            <w:bookmarkStart w:id="79" w:name="_Toc295404984"/>
            <w:bookmarkStart w:id="80" w:name="_Toc254970732"/>
            <w:bookmarkStart w:id="81" w:name="_Toc373333692"/>
            <w:bookmarkStart w:id="82" w:name="_Toc254970591"/>
            <w:bookmarkStart w:id="83" w:name="_Toc173211903"/>
            <w:bookmarkStart w:id="84" w:name="_Toc173066404"/>
            <w:r>
              <w:rPr>
                <w:rFonts w:hint="eastAsia" w:ascii="宋体" w:hAnsi="宋体" w:eastAsia="宋体" w:cs="宋体"/>
                <w:color w:val="auto"/>
                <w:sz w:val="24"/>
                <w:highlight w:val="none"/>
              </w:rPr>
              <w:t>偏离</w:t>
            </w:r>
            <w:bookmarkEnd w:id="76"/>
            <w:bookmarkEnd w:id="77"/>
            <w:bookmarkEnd w:id="78"/>
            <w:bookmarkEnd w:id="79"/>
            <w:bookmarkEnd w:id="80"/>
            <w:bookmarkEnd w:id="81"/>
            <w:bookmarkEnd w:id="82"/>
            <w:bookmarkEnd w:id="83"/>
            <w:bookmarkEnd w:id="84"/>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85" w:name="_Toc173066406"/>
            <w:bookmarkStart w:id="86" w:name="_Toc373333694"/>
            <w:bookmarkStart w:id="87" w:name="_Toc254970734"/>
            <w:bookmarkStart w:id="88" w:name="_Toc254970593"/>
            <w:bookmarkStart w:id="89" w:name="_Toc301781616"/>
            <w:bookmarkStart w:id="90" w:name="_Toc297193190"/>
            <w:bookmarkStart w:id="91" w:name="_Toc383699911"/>
            <w:bookmarkStart w:id="92" w:name="_Toc295404986"/>
            <w:bookmarkStart w:id="93" w:name="_Toc173211905"/>
            <w:r>
              <w:rPr>
                <w:rFonts w:hint="eastAsia" w:ascii="宋体" w:hAnsi="宋体" w:eastAsia="宋体" w:cs="宋体"/>
                <w:color w:val="auto"/>
                <w:sz w:val="24"/>
                <w:highlight w:val="none"/>
              </w:rPr>
              <w:t>1</w:t>
            </w:r>
            <w:bookmarkEnd w:id="85"/>
            <w:bookmarkEnd w:id="86"/>
            <w:bookmarkEnd w:id="87"/>
            <w:bookmarkEnd w:id="88"/>
            <w:bookmarkEnd w:id="89"/>
            <w:bookmarkEnd w:id="90"/>
            <w:bookmarkEnd w:id="91"/>
            <w:bookmarkEnd w:id="92"/>
            <w:bookmarkEnd w:id="93"/>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94" w:name="_Toc173211906"/>
            <w:bookmarkStart w:id="95" w:name="_Toc254970735"/>
            <w:bookmarkStart w:id="96" w:name="_Toc295404987"/>
            <w:bookmarkStart w:id="97" w:name="_Toc301781617"/>
            <w:bookmarkStart w:id="98" w:name="_Toc254970594"/>
            <w:bookmarkStart w:id="99" w:name="_Toc173066407"/>
            <w:bookmarkStart w:id="100" w:name="_Toc373333695"/>
            <w:bookmarkStart w:id="101" w:name="_Toc297193191"/>
            <w:bookmarkStart w:id="102" w:name="_Toc383699912"/>
            <w:r>
              <w:rPr>
                <w:rFonts w:hint="eastAsia" w:ascii="宋体" w:hAnsi="宋体" w:eastAsia="宋体" w:cs="宋体"/>
                <w:color w:val="auto"/>
                <w:sz w:val="24"/>
                <w:highlight w:val="none"/>
              </w:rPr>
              <w:t>2</w:t>
            </w:r>
            <w:bookmarkEnd w:id="94"/>
            <w:bookmarkEnd w:id="95"/>
            <w:bookmarkEnd w:id="96"/>
            <w:bookmarkEnd w:id="97"/>
            <w:bookmarkEnd w:id="98"/>
            <w:bookmarkEnd w:id="99"/>
            <w:bookmarkEnd w:id="100"/>
            <w:bookmarkEnd w:id="101"/>
            <w:bookmarkEnd w:id="102"/>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03" w:name="_Toc254970736"/>
            <w:bookmarkStart w:id="104" w:name="_Toc301781618"/>
            <w:bookmarkStart w:id="105" w:name="_Toc173066408"/>
            <w:bookmarkStart w:id="106" w:name="_Toc295404988"/>
            <w:bookmarkStart w:id="107" w:name="_Toc173211907"/>
            <w:bookmarkStart w:id="108" w:name="_Toc297193192"/>
            <w:bookmarkStart w:id="109" w:name="_Toc373333696"/>
            <w:bookmarkStart w:id="110" w:name="_Toc254970595"/>
            <w:bookmarkStart w:id="111" w:name="_Toc383699913"/>
            <w:r>
              <w:rPr>
                <w:rFonts w:hint="eastAsia" w:ascii="宋体" w:hAnsi="宋体" w:eastAsia="宋体" w:cs="宋体"/>
                <w:color w:val="auto"/>
                <w:sz w:val="24"/>
                <w:highlight w:val="none"/>
              </w:rPr>
              <w:t>3</w:t>
            </w:r>
            <w:bookmarkEnd w:id="103"/>
            <w:bookmarkEnd w:id="104"/>
            <w:bookmarkEnd w:id="105"/>
            <w:bookmarkEnd w:id="106"/>
            <w:bookmarkEnd w:id="107"/>
            <w:bookmarkEnd w:id="108"/>
            <w:bookmarkEnd w:id="109"/>
            <w:bookmarkEnd w:id="110"/>
            <w:bookmarkEnd w:id="111"/>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12" w:name="_Toc383699914"/>
            <w:bookmarkStart w:id="113" w:name="_Toc173211908"/>
            <w:bookmarkStart w:id="114" w:name="_Toc173066409"/>
            <w:bookmarkStart w:id="115" w:name="_Toc373333697"/>
            <w:bookmarkStart w:id="116" w:name="_Toc254970737"/>
            <w:bookmarkStart w:id="117" w:name="_Toc295404989"/>
            <w:bookmarkStart w:id="118" w:name="_Toc297193193"/>
            <w:bookmarkStart w:id="119" w:name="_Toc301781619"/>
            <w:bookmarkStart w:id="120" w:name="_Toc254970596"/>
            <w:r>
              <w:rPr>
                <w:rFonts w:hint="eastAsia" w:ascii="宋体" w:hAnsi="宋体" w:eastAsia="宋体" w:cs="宋体"/>
                <w:color w:val="auto"/>
                <w:sz w:val="24"/>
                <w:highlight w:val="none"/>
              </w:rPr>
              <w:t>4</w:t>
            </w:r>
            <w:bookmarkEnd w:id="112"/>
            <w:bookmarkEnd w:id="113"/>
            <w:bookmarkEnd w:id="114"/>
            <w:bookmarkEnd w:id="115"/>
            <w:bookmarkEnd w:id="116"/>
            <w:bookmarkEnd w:id="117"/>
            <w:bookmarkEnd w:id="118"/>
            <w:bookmarkEnd w:id="119"/>
            <w:bookmarkEnd w:id="120"/>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21" w:name="_Toc254970738"/>
            <w:bookmarkStart w:id="122" w:name="_Toc301781620"/>
            <w:bookmarkStart w:id="123" w:name="_Toc173066410"/>
            <w:bookmarkStart w:id="124" w:name="_Toc297193194"/>
            <w:bookmarkStart w:id="125" w:name="_Toc295404990"/>
            <w:bookmarkStart w:id="126" w:name="_Toc373333698"/>
            <w:bookmarkStart w:id="127" w:name="_Toc173211909"/>
            <w:bookmarkStart w:id="128" w:name="_Toc383699915"/>
            <w:bookmarkStart w:id="129" w:name="_Toc254970597"/>
            <w:r>
              <w:rPr>
                <w:rFonts w:hint="eastAsia" w:ascii="宋体" w:hAnsi="宋体" w:eastAsia="宋体" w:cs="宋体"/>
                <w:color w:val="auto"/>
                <w:sz w:val="24"/>
                <w:highlight w:val="none"/>
              </w:rPr>
              <w:t>5</w:t>
            </w:r>
            <w:bookmarkEnd w:id="121"/>
            <w:bookmarkEnd w:id="122"/>
            <w:bookmarkEnd w:id="123"/>
            <w:bookmarkEnd w:id="124"/>
            <w:bookmarkEnd w:id="125"/>
            <w:bookmarkEnd w:id="126"/>
            <w:bookmarkEnd w:id="127"/>
            <w:bookmarkEnd w:id="128"/>
            <w:bookmarkEnd w:id="129"/>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vAlign w:val="center"/>
          </w:tcPr>
          <w:p>
            <w:pPr>
              <w:spacing w:line="360" w:lineRule="auto"/>
              <w:contextualSpacing/>
              <w:jc w:val="center"/>
              <w:rPr>
                <w:rFonts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81" w:type="dxa"/>
            <w:vAlign w:val="center"/>
          </w:tcPr>
          <w:p>
            <w:pPr>
              <w:spacing w:line="360" w:lineRule="auto"/>
              <w:contextualSpacing/>
              <w:jc w:val="center"/>
              <w:rPr>
                <w:rFonts w:ascii="宋体" w:hAnsi="宋体" w:eastAsia="宋体" w:cs="宋体"/>
                <w:color w:val="auto"/>
                <w:sz w:val="24"/>
                <w:highlight w:val="none"/>
              </w:rPr>
            </w:pPr>
            <w:bookmarkStart w:id="130" w:name="_Toc254970743"/>
            <w:bookmarkStart w:id="131" w:name="_Toc295404991"/>
            <w:bookmarkStart w:id="132" w:name="_Toc383699916"/>
            <w:bookmarkStart w:id="133" w:name="_Toc173211914"/>
            <w:bookmarkStart w:id="134" w:name="_Toc373333699"/>
            <w:bookmarkStart w:id="135" w:name="_Toc254970602"/>
            <w:bookmarkStart w:id="136" w:name="_Toc173066415"/>
            <w:bookmarkStart w:id="137" w:name="_Toc297193195"/>
            <w:bookmarkStart w:id="138" w:name="_Toc301781621"/>
            <w:r>
              <w:rPr>
                <w:rFonts w:hint="eastAsia" w:ascii="宋体" w:hAnsi="宋体" w:eastAsia="宋体" w:cs="宋体"/>
                <w:color w:val="auto"/>
                <w:sz w:val="24"/>
                <w:highlight w:val="none"/>
              </w:rPr>
              <w:t>…</w:t>
            </w:r>
            <w:bookmarkEnd w:id="130"/>
            <w:bookmarkEnd w:id="131"/>
            <w:bookmarkEnd w:id="132"/>
            <w:bookmarkEnd w:id="133"/>
            <w:bookmarkEnd w:id="134"/>
            <w:bookmarkEnd w:id="135"/>
            <w:bookmarkEnd w:id="136"/>
            <w:bookmarkEnd w:id="137"/>
            <w:bookmarkEnd w:id="138"/>
          </w:p>
        </w:tc>
        <w:tc>
          <w:tcPr>
            <w:tcW w:w="881"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927" w:type="dxa"/>
            <w:tcBorders>
              <w:left w:val="single" w:color="auto" w:sz="4" w:space="0"/>
            </w:tcBorders>
            <w:vAlign w:val="center"/>
          </w:tcPr>
          <w:p>
            <w:pPr>
              <w:spacing w:line="360" w:lineRule="auto"/>
              <w:contextualSpacing/>
              <w:jc w:val="center"/>
              <w:rPr>
                <w:rFonts w:ascii="宋体" w:hAnsi="宋体" w:eastAsia="宋体" w:cs="宋体"/>
                <w:color w:val="auto"/>
                <w:sz w:val="24"/>
                <w:highlight w:val="none"/>
              </w:rPr>
            </w:pPr>
          </w:p>
        </w:tc>
        <w:tc>
          <w:tcPr>
            <w:tcW w:w="2634" w:type="dxa"/>
            <w:vAlign w:val="center"/>
          </w:tcPr>
          <w:p>
            <w:pPr>
              <w:spacing w:line="360" w:lineRule="auto"/>
              <w:contextualSpacing/>
              <w:jc w:val="center"/>
              <w:rPr>
                <w:rFonts w:ascii="宋体" w:hAnsi="宋体" w:eastAsia="宋体" w:cs="宋体"/>
                <w:color w:val="auto"/>
                <w:sz w:val="24"/>
                <w:highlight w:val="none"/>
              </w:rPr>
            </w:pPr>
          </w:p>
        </w:tc>
        <w:tc>
          <w:tcPr>
            <w:tcW w:w="1437" w:type="dxa"/>
            <w:tcBorders>
              <w:right w:val="single" w:color="auto" w:sz="4" w:space="0"/>
            </w:tcBorders>
            <w:vAlign w:val="center"/>
          </w:tcPr>
          <w:p>
            <w:pPr>
              <w:spacing w:line="360" w:lineRule="auto"/>
              <w:contextualSpacing/>
              <w:jc w:val="center"/>
              <w:rPr>
                <w:rFonts w:ascii="宋体" w:hAnsi="宋体" w:eastAsia="宋体" w:cs="宋体"/>
                <w:color w:val="auto"/>
                <w:sz w:val="24"/>
                <w:highlight w:val="none"/>
              </w:rPr>
            </w:pPr>
          </w:p>
        </w:tc>
      </w:tr>
    </w:tbl>
    <w:p>
      <w:pPr>
        <w:spacing w:line="360" w:lineRule="auto"/>
        <w:contextualSpacing/>
        <w:rPr>
          <w:rFonts w:ascii="宋体" w:hAnsi="宋体" w:eastAsia="宋体" w:cs="宋体"/>
          <w:color w:val="auto"/>
          <w:sz w:val="24"/>
          <w:highlight w:val="none"/>
        </w:rPr>
      </w:pP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1. 说明：应对照谈判文件“第三章 采购需求”中的</w:t>
      </w:r>
      <w:bookmarkStart w:id="139" w:name="_Hlk65854900"/>
      <w:r>
        <w:rPr>
          <w:rFonts w:hint="eastAsia" w:ascii="宋体" w:hAnsi="宋体" w:eastAsia="宋体" w:cs="宋体"/>
          <w:color w:val="auto"/>
          <w:sz w:val="24"/>
          <w:highlight w:val="none"/>
        </w:rPr>
        <w:t>技术要求逐条作出明确响应</w:t>
      </w:r>
      <w:bookmarkEnd w:id="139"/>
      <w:r>
        <w:rPr>
          <w:rFonts w:hint="eastAsia" w:ascii="宋体" w:hAnsi="宋体" w:eastAsia="宋体" w:cs="宋体"/>
          <w:color w:val="auto"/>
          <w:sz w:val="24"/>
          <w:highlight w:val="none"/>
        </w:rPr>
        <w:t>，并作出偏离说明。</w:t>
      </w:r>
    </w:p>
    <w:p>
      <w:pPr>
        <w:spacing w:line="360" w:lineRule="auto"/>
        <w:contextualSpacing/>
        <w:rPr>
          <w:rFonts w:ascii="宋体" w:hAnsi="宋体" w:eastAsia="宋体" w:cs="宋体"/>
          <w:color w:val="auto"/>
          <w:sz w:val="24"/>
          <w:highlight w:val="none"/>
        </w:rPr>
      </w:pPr>
      <w:r>
        <w:rPr>
          <w:rFonts w:hint="eastAsia" w:ascii="宋体" w:hAnsi="宋体" w:eastAsia="宋体" w:cs="宋体"/>
          <w:color w:val="auto"/>
          <w:sz w:val="24"/>
          <w:highlight w:val="none"/>
        </w:rPr>
        <w:t>2. 供应商应根据自身的承诺，对照谈判文件要求，在“偏离说明”中注明“正偏离”、“负偏离”或者“无偏离”。既不属于“正偏离”也不属于“负偏离”即为“无偏离”。</w:t>
      </w:r>
    </w:p>
    <w:p>
      <w:pPr>
        <w:spacing w:line="360" w:lineRule="auto"/>
        <w:ind w:right="-856" w:rightChars="-389"/>
        <w:contextualSpacing/>
        <w:jc w:val="center"/>
        <w:rPr>
          <w:rFonts w:ascii="宋体" w:hAnsi="宋体" w:eastAsia="宋体" w:cs="宋体"/>
          <w:color w:val="auto"/>
          <w:sz w:val="24"/>
          <w:highlight w:val="none"/>
        </w:rPr>
      </w:pPr>
    </w:p>
    <w:p>
      <w:pPr>
        <w:spacing w:line="500" w:lineRule="exact"/>
        <w:ind w:firstLine="5059" w:firstLineChars="2108"/>
        <w:rPr>
          <w:rFonts w:ascii="宋体" w:hAnsi="宋体" w:eastAsia="宋体" w:cs="宋体"/>
          <w:color w:val="auto"/>
          <w:sz w:val="24"/>
          <w:highlight w:val="none"/>
        </w:rPr>
      </w:pP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（盖单位章）  </w:t>
      </w:r>
    </w:p>
    <w:p>
      <w:pPr>
        <w:spacing w:line="500" w:lineRule="exact"/>
        <w:ind w:firstLine="5059" w:firstLineChars="2108"/>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年   月   日</w:t>
      </w:r>
    </w:p>
    <w:p>
      <w:pPr>
        <w:pStyle w:val="2"/>
        <w:rPr>
          <w:rFonts w:hint="eastAsia" w:ascii="宋体" w:hAnsi="宋体" w:eastAsia="宋体" w:cs="宋体"/>
          <w:color w:val="auto"/>
          <w:sz w:val="24"/>
          <w:highlight w:val="none"/>
          <w:u w:val="single"/>
        </w:rPr>
      </w:pPr>
    </w:p>
    <w:p>
      <w:pPr>
        <w:pStyle w:val="2"/>
        <w:rPr>
          <w:rFonts w:hint="eastAsia" w:ascii="宋体" w:hAnsi="宋体" w:eastAsia="宋体" w:cs="宋体"/>
          <w:color w:val="auto"/>
          <w:sz w:val="24"/>
          <w:highlight w:val="none"/>
          <w:u w:val="single"/>
        </w:rPr>
      </w:pPr>
    </w:p>
    <w:p>
      <w:pPr>
        <w:pStyle w:val="2"/>
        <w:rPr>
          <w:rFonts w:hint="eastAsia" w:ascii="宋体" w:hAnsi="宋体" w:eastAsia="宋体" w:cs="宋体"/>
          <w:color w:val="auto"/>
          <w:sz w:val="24"/>
          <w:highlight w:val="none"/>
          <w:u w:val="single"/>
        </w:rPr>
      </w:pPr>
    </w:p>
    <w:p>
      <w:pPr>
        <w:pStyle w:val="57"/>
        <w:spacing w:line="360" w:lineRule="auto"/>
        <w:ind w:firstLine="0" w:firstLineChars="0"/>
        <w:rPr>
          <w:rFonts w:hint="eastAsia" w:eastAsia="黑体"/>
          <w:bCs/>
          <w:sz w:val="24"/>
          <w:lang w:val="en-US" w:eastAsia="zh-CN"/>
        </w:rPr>
      </w:pPr>
      <w:r>
        <w:rPr>
          <w:rFonts w:hint="eastAsia" w:eastAsia="黑体"/>
          <w:bCs/>
          <w:sz w:val="24"/>
          <w:lang w:val="en-US" w:eastAsia="zh-CN"/>
        </w:rPr>
        <w:t>廉洁协议书</w:t>
      </w:r>
    </w:p>
    <w:p>
      <w:pPr>
        <w:pStyle w:val="58"/>
        <w:tabs>
          <w:tab w:val="left" w:pos="1251"/>
        </w:tabs>
        <w:spacing w:line="540" w:lineRule="exact"/>
        <w:ind w:left="0" w:leftChars="0" w:firstLine="0" w:firstLineChars="0"/>
        <w:jc w:val="center"/>
        <w:rPr>
          <w:rFonts w:hint="eastAsia" w:ascii="黑体" w:hAnsi="黑体" w:eastAsia="黑体" w:cs="黑体"/>
          <w:color w:val="auto"/>
          <w:sz w:val="52"/>
          <w:szCs w:val="52"/>
          <w:lang w:val="en-US" w:eastAsia="zh-CN"/>
        </w:rPr>
      </w:pPr>
      <w:bookmarkStart w:id="140" w:name="bookmark11"/>
      <w:r>
        <w:rPr>
          <w:rFonts w:hint="eastAsia" w:ascii="黑体" w:hAnsi="黑体" w:eastAsia="黑体" w:cs="黑体"/>
          <w:color w:val="auto"/>
          <w:sz w:val="52"/>
          <w:szCs w:val="52"/>
          <w:lang w:val="en-US" w:eastAsia="zh-CN"/>
        </w:rPr>
        <w:t>隆林各族自治县中医医院</w:t>
      </w:r>
    </w:p>
    <w:p>
      <w:pPr>
        <w:pStyle w:val="58"/>
        <w:tabs>
          <w:tab w:val="left" w:pos="1251"/>
        </w:tabs>
        <w:spacing w:line="540" w:lineRule="exact"/>
        <w:ind w:left="0" w:leftChars="0" w:firstLine="0" w:firstLine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52"/>
          <w:szCs w:val="52"/>
          <w:lang w:val="en-US" w:eastAsia="zh-CN"/>
        </w:rPr>
        <w:t>供应商廉洁承诺书</w:t>
      </w:r>
    </w:p>
    <w:bookmarkEnd w:id="140"/>
    <w:p>
      <w:pPr>
        <w:pStyle w:val="58"/>
        <w:tabs>
          <w:tab w:val="left" w:pos="1251"/>
        </w:tabs>
        <w:spacing w:line="540" w:lineRule="exact"/>
        <w:ind w:firstLine="600"/>
        <w:jc w:val="both"/>
        <w:rPr>
          <w:rFonts w:hint="eastAsia" w:ascii="华文仿宋" w:hAnsi="华文仿宋" w:eastAsia="华文仿宋"/>
          <w:color w:val="auto"/>
          <w:sz w:val="32"/>
          <w:szCs w:val="32"/>
        </w:rPr>
      </w:pP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根据医院党风廉政以及医药领域腐败问题集中治理的工作的要求，作为参与医院合作供应商，做出如下郑重承诺：</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1.在业务往来中，严格遵守医院廉洁建设的各项制度和规定，并支持医院执行有关规定和制度。</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2.本公司（含工作人员）决不以任何名义向医院工作人员（含配偶、子女、亲属其他共同利益关系人员）赠送礼品（包括但不限于礼金、股份、有价证券和贵重物</w:t>
      </w:r>
      <w:r>
        <w:rPr>
          <w:rFonts w:hint="eastAsia" w:ascii="仿宋_GB2312" w:hAnsi="仿宋_GB2312" w:eastAsia="仿宋_GB2312" w:cs="仿宋_GB2312"/>
          <w:color w:val="auto"/>
          <w:w w:val="80"/>
          <w:sz w:val="32"/>
          <w:szCs w:val="32"/>
          <w:lang w:val="zh-CN" w:eastAsia="zh-CN"/>
        </w:rPr>
        <w:t>品等</w:t>
      </w:r>
      <w:r>
        <w:rPr>
          <w:rFonts w:hint="eastAsia" w:ascii="仿宋_GB2312" w:hAnsi="仿宋_GB2312" w:eastAsia="仿宋_GB2312" w:cs="仿宋_GB2312"/>
          <w:color w:val="auto"/>
          <w:w w:val="80"/>
          <w:sz w:val="32"/>
          <w:szCs w:val="32"/>
          <w:lang w:val="en-US" w:eastAsia="zh-CN"/>
        </w:rPr>
        <w:t>)；不得为医院工作人员（含配偶、子女、亲属及其他共同利益关系人员）安排工作，以及支付应由其个人自付的各种费用（包括但不限于住宅装修、食宿、子女出国、食宿等）</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3.本公司（含工作人员）不得为谋取私利擅自与医院工作人员（含配偶、子女、亲属其他共同利益关系人员）进行私下商谈或者达成默契。</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left="0" w:leftChars="0" w:firstLine="512" w:firstLineChars="200"/>
        <w:jc w:val="both"/>
        <w:textAlignment w:val="auto"/>
        <w:rPr>
          <w:rFonts w:hint="eastAsia" w:ascii="仿宋_GB2312" w:hAnsi="仿宋_GB2312" w:eastAsia="仿宋_GB2312" w:cs="仿宋_GB2312"/>
          <w:color w:val="auto"/>
          <w:w w:val="80"/>
          <w:sz w:val="32"/>
          <w:szCs w:val="32"/>
        </w:rPr>
      </w:pPr>
      <w:r>
        <w:rPr>
          <w:rFonts w:hint="eastAsia" w:ascii="仿宋_GB2312" w:hAnsi="仿宋_GB2312" w:eastAsia="仿宋_GB2312" w:cs="仿宋_GB2312"/>
          <w:color w:val="auto"/>
          <w:w w:val="80"/>
          <w:sz w:val="32"/>
          <w:szCs w:val="32"/>
          <w:lang w:val="en-US" w:eastAsia="zh-CN"/>
        </w:rPr>
        <w:t>4.本公司（含工作人员）</w:t>
      </w:r>
      <w:r>
        <w:rPr>
          <w:rFonts w:hint="eastAsia" w:ascii="仿宋_GB2312" w:hAnsi="仿宋_GB2312" w:eastAsia="仿宋_GB2312" w:cs="仿宋_GB2312"/>
          <w:color w:val="auto"/>
          <w:w w:val="80"/>
          <w:sz w:val="32"/>
          <w:szCs w:val="32"/>
        </w:rPr>
        <w:t>不得以洽谈业务、签订合同等为借口，邀请</w:t>
      </w:r>
      <w:r>
        <w:rPr>
          <w:rFonts w:hint="eastAsia" w:ascii="仿宋_GB2312" w:hAnsi="仿宋_GB2312" w:eastAsia="仿宋_GB2312" w:cs="仿宋_GB2312"/>
          <w:color w:val="auto"/>
          <w:w w:val="80"/>
          <w:sz w:val="32"/>
          <w:szCs w:val="32"/>
          <w:lang w:val="en-US" w:eastAsia="zh-CN"/>
        </w:rPr>
        <w:t>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w:t>
      </w:r>
      <w:r>
        <w:rPr>
          <w:rFonts w:hint="eastAsia" w:ascii="仿宋_GB2312" w:hAnsi="仿宋_GB2312" w:eastAsia="仿宋_GB2312" w:cs="仿宋_GB2312"/>
          <w:color w:val="auto"/>
          <w:w w:val="80"/>
          <w:sz w:val="32"/>
          <w:szCs w:val="32"/>
        </w:rPr>
        <w:t>外出旅游或进入营业性娱乐场所。</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default"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5.本公司发现医院工作人员</w:t>
      </w:r>
      <w:r>
        <w:rPr>
          <w:rFonts w:hint="eastAsia" w:ascii="仿宋_GB2312" w:hAnsi="仿宋_GB2312" w:eastAsia="仿宋_GB2312" w:cs="仿宋_GB2312"/>
          <w:color w:val="auto"/>
          <w:w w:val="80"/>
          <w:sz w:val="32"/>
          <w:szCs w:val="32"/>
        </w:rPr>
        <w:t>（含</w:t>
      </w:r>
      <w:r>
        <w:rPr>
          <w:rFonts w:hint="eastAsia" w:ascii="仿宋_GB2312" w:hAnsi="仿宋_GB2312" w:eastAsia="仿宋_GB2312" w:cs="仿宋_GB2312"/>
          <w:color w:val="auto"/>
          <w:w w:val="80"/>
          <w:sz w:val="32"/>
          <w:szCs w:val="32"/>
          <w:lang w:val="en-US" w:eastAsia="zh-CN"/>
        </w:rPr>
        <w:t>配偶、子女、亲属及其他共同利益关系人员）有违反本承诺行为倾向的，应及时提醒纠正并向医院纪委（电话：0776-2505111）举报。</w:t>
      </w:r>
    </w:p>
    <w:p>
      <w:pPr>
        <w:pStyle w:val="58"/>
        <w:keepNext w:val="0"/>
        <w:keepLines w:val="0"/>
        <w:pageBreakBefore w:val="0"/>
        <w:widowControl w:val="0"/>
        <w:tabs>
          <w:tab w:val="left" w:pos="1251"/>
        </w:tabs>
        <w:kinsoku/>
        <w:wordWrap/>
        <w:overflowPunct/>
        <w:topLinePunct w:val="0"/>
        <w:autoSpaceDE/>
        <w:autoSpaceDN/>
        <w:bidi w:val="0"/>
        <w:adjustRightInd/>
        <w:snapToGrid/>
        <w:spacing w:line="500" w:lineRule="exact"/>
        <w:ind w:firstLine="600"/>
        <w:jc w:val="both"/>
        <w:textAlignment w:val="auto"/>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6.经医院监督部门核实认定发现本公司（含工作人员）违反承诺，医院可立即取消与公司的合作，同时医院可保留追究其相应的法律责任。</w:t>
      </w:r>
    </w:p>
    <w:p>
      <w:pPr>
        <w:pStyle w:val="58"/>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承诺方：</w:t>
      </w:r>
    </w:p>
    <w:p>
      <w:pPr>
        <w:pStyle w:val="58"/>
        <w:tabs>
          <w:tab w:val="left" w:pos="1251"/>
        </w:tabs>
        <w:spacing w:line="540" w:lineRule="exact"/>
        <w:ind w:left="0" w:leftChars="0" w:firstLine="0" w:firstLineChars="0"/>
        <w:jc w:val="both"/>
        <w:rPr>
          <w:rFonts w:hint="eastAsia" w:ascii="仿宋_GB2312" w:hAnsi="仿宋_GB2312" w:eastAsia="仿宋_GB2312" w:cs="仿宋_GB2312"/>
          <w:color w:val="auto"/>
          <w:w w:val="80"/>
          <w:sz w:val="32"/>
          <w:szCs w:val="32"/>
          <w:lang w:val="en-US" w:eastAsia="zh-CN"/>
        </w:rPr>
      </w:pPr>
      <w:r>
        <w:rPr>
          <w:rFonts w:hint="eastAsia" w:ascii="仿宋_GB2312" w:hAnsi="仿宋_GB2312" w:eastAsia="仿宋_GB2312" w:cs="仿宋_GB2312"/>
          <w:color w:val="auto"/>
          <w:w w:val="80"/>
          <w:sz w:val="32"/>
          <w:szCs w:val="32"/>
          <w:lang w:val="en-US" w:eastAsia="zh-CN"/>
        </w:rPr>
        <w:t>法人代表（或委托人）：</w:t>
      </w:r>
    </w:p>
    <w:p>
      <w:pPr>
        <w:pStyle w:val="58"/>
        <w:tabs>
          <w:tab w:val="left" w:pos="1251"/>
        </w:tabs>
        <w:spacing w:line="540" w:lineRule="exact"/>
        <w:ind w:firstLine="600"/>
        <w:jc w:val="both"/>
        <w:rPr>
          <w:w w:val="80"/>
        </w:rPr>
      </w:pPr>
      <w:r>
        <w:rPr>
          <w:rFonts w:hint="eastAsia" w:ascii="仿宋_GB2312" w:hAnsi="仿宋_GB2312" w:eastAsia="仿宋_GB2312" w:cs="仿宋_GB2312"/>
          <w:color w:val="auto"/>
          <w:w w:val="80"/>
          <w:sz w:val="32"/>
          <w:szCs w:val="32"/>
          <w:lang w:val="en-US" w:eastAsia="zh-CN"/>
        </w:rPr>
        <w:t xml:space="preserve">                                               年     月     日  </w:t>
      </w:r>
    </w:p>
    <w:p>
      <w:pPr>
        <w:pStyle w:val="7"/>
        <w:tabs>
          <w:tab w:val="left" w:pos="1442"/>
        </w:tabs>
        <w:kinsoku w:val="0"/>
        <w:overflowPunct w:val="0"/>
        <w:spacing w:before="54"/>
        <w:ind w:right="66"/>
        <w:rPr>
          <w:rFonts w:hint="eastAsia" w:ascii="黑体" w:hAnsi="黑体" w:eastAsia="黑体"/>
          <w:color w:val="auto"/>
          <w:sz w:val="32"/>
          <w:szCs w:val="24"/>
          <w:highlight w:val="none"/>
        </w:rPr>
      </w:pPr>
      <w:r>
        <w:rPr>
          <w:rFonts w:hint="eastAsia" w:ascii="黑体" w:hAnsi="黑体" w:eastAsia="黑体"/>
          <w:color w:val="auto"/>
          <w:sz w:val="32"/>
          <w:szCs w:val="24"/>
          <w:highlight w:val="none"/>
        </w:rPr>
        <w:t>第六章</w:t>
      </w:r>
      <w:r>
        <w:rPr>
          <w:rFonts w:hint="eastAsia" w:ascii="黑体" w:hAnsi="黑体" w:eastAsia="黑体"/>
          <w:color w:val="auto"/>
          <w:sz w:val="32"/>
          <w:szCs w:val="24"/>
          <w:highlight w:val="none"/>
        </w:rPr>
        <w:tab/>
      </w:r>
      <w:r>
        <w:rPr>
          <w:rFonts w:hint="eastAsia" w:ascii="黑体" w:hAnsi="黑体" w:eastAsia="黑体"/>
          <w:color w:val="auto"/>
          <w:sz w:val="32"/>
          <w:szCs w:val="24"/>
          <w:highlight w:val="none"/>
        </w:rPr>
        <w:t>评定成交的标准</w:t>
      </w:r>
    </w:p>
    <w:p>
      <w:pPr>
        <w:pStyle w:val="9"/>
        <w:kinsoku w:val="0"/>
        <w:overflowPunct w:val="0"/>
        <w:spacing w:before="8"/>
        <w:rPr>
          <w:rFonts w:hint="eastAsia" w:ascii="黑体" w:hAnsi="黑体" w:eastAsia="黑体"/>
          <w:b/>
          <w:color w:val="auto"/>
          <w:sz w:val="24"/>
          <w:szCs w:val="24"/>
          <w:highlight w:val="none"/>
        </w:rPr>
      </w:pPr>
    </w:p>
    <w:p>
      <w:pPr>
        <w:pStyle w:val="12"/>
        <w:shd w:val="clear" w:color="auto" w:fill="FFFFFF"/>
        <w:spacing w:line="360" w:lineRule="auto"/>
        <w:ind w:firstLine="590" w:firstLineChars="245"/>
        <w:rPr>
          <w:rFonts w:hint="eastAsia" w:hAnsi="宋体" w:cs="宋体"/>
          <w:b/>
          <w:color w:val="auto"/>
          <w:sz w:val="24"/>
          <w:szCs w:val="24"/>
          <w:highlight w:val="none"/>
        </w:rPr>
      </w:pPr>
      <w:r>
        <w:rPr>
          <w:rFonts w:hint="eastAsia" w:hAnsi="宋体" w:cs="宋体"/>
          <w:b/>
          <w:color w:val="auto"/>
          <w:sz w:val="24"/>
          <w:szCs w:val="24"/>
          <w:highlight w:val="none"/>
        </w:rPr>
        <w:t>一、评审原则</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（一）谈判小组成员组成：本竞争性谈判采购项目的谈判小组由</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3</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人组成。【采购人代表和评审专家共三人以上的单数组成，（达到公开招标数额标准以上的项目，竞争性谈判小组成员由五人以上单数组成），其中评审专家的人数不得少于谈判小组成员总数的三分之二。】</w:t>
      </w:r>
    </w:p>
    <w:p>
      <w:pPr>
        <w:pStyle w:val="12"/>
        <w:shd w:val="clear" w:color="auto" w:fill="FFFFFF"/>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（二）评审依据：以竞争性谈判文件和竞争性响应文件为依据。</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二、评审办法</w:t>
      </w:r>
    </w:p>
    <w:p>
      <w:pPr>
        <w:pStyle w:val="12"/>
        <w:keepNext w:val="0"/>
        <w:keepLines w:val="0"/>
        <w:pageBreakBefore w:val="0"/>
        <w:shd w:val="clear" w:color="auto" w:fill="FFFFFF"/>
        <w:wordWrap/>
        <w:topLinePunct w:val="0"/>
        <w:autoSpaceDE/>
        <w:autoSpaceDN/>
        <w:bidi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谈判小组将以竞争性谈判文件为依据，对资格性检查合格的竞争性响应文件进行评审，在质量和服务均能满足竞争性谈判文件实质性响应要求的供应商中，按下列程序确定成交供应商：</w:t>
      </w:r>
    </w:p>
    <w:p>
      <w:pPr>
        <w:pStyle w:val="12"/>
        <w:keepNext w:val="0"/>
        <w:keepLines w:val="0"/>
        <w:pageBreakBefore w:val="0"/>
        <w:shd w:val="clear" w:color="auto" w:fill="FFFFFF"/>
        <w:wordWrap/>
        <w:topLinePunct w:val="0"/>
        <w:autoSpaceDE/>
        <w:autoSpaceDN/>
        <w:bidi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2.谈判小组将以谈判文件、响应文件为评审依据，在响应文件满足谈判文件全部实质性要求且</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最低的供应商为成交候选人。</w:t>
      </w:r>
    </w:p>
    <w:p>
      <w:pPr>
        <w:pStyle w:val="12"/>
        <w:shd w:val="clear" w:color="auto" w:fill="FFFFFF"/>
        <w:spacing w:line="360" w:lineRule="auto"/>
        <w:ind w:firstLine="482" w:firstLineChars="200"/>
        <w:rPr>
          <w:rFonts w:hint="eastAsia" w:hAnsi="宋体" w:cs="宋体"/>
          <w:b/>
          <w:color w:val="auto"/>
          <w:sz w:val="24"/>
          <w:szCs w:val="24"/>
          <w:highlight w:val="none"/>
        </w:rPr>
      </w:pPr>
      <w:r>
        <w:rPr>
          <w:rFonts w:hint="eastAsia" w:hAnsi="宋体" w:cs="宋体"/>
          <w:b/>
          <w:color w:val="auto"/>
          <w:sz w:val="24"/>
          <w:szCs w:val="24"/>
          <w:highlight w:val="none"/>
        </w:rPr>
        <w:t>三、成交候选人推荐和确定原则</w:t>
      </w:r>
    </w:p>
    <w:p>
      <w:pPr>
        <w:pStyle w:val="12"/>
        <w:shd w:val="clear" w:color="auto" w:fill="FFFFFF"/>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（一）竞争性响应文件在质量和服务均能满足竞争性谈判文件实质性响应要求时，谈判小组将按</w:t>
      </w:r>
      <w:r>
        <w:rPr>
          <w:rFonts w:hint="eastAsia" w:hAnsi="宋体" w:cs="宋体"/>
          <w:color w:val="auto"/>
          <w:sz w:val="24"/>
          <w:szCs w:val="24"/>
          <w:highlight w:val="none"/>
          <w:lang w:eastAsia="zh-CN"/>
        </w:rPr>
        <w:t>评审</w:t>
      </w:r>
      <w:r>
        <w:rPr>
          <w:rFonts w:hint="eastAsia" w:hAnsi="宋体" w:cs="宋体"/>
          <w:color w:val="auto"/>
          <w:sz w:val="24"/>
          <w:szCs w:val="24"/>
          <w:highlight w:val="none"/>
        </w:rPr>
        <w:t>报价由低到高顺序推荐3名以上成交候选人（</w:t>
      </w:r>
      <w:r>
        <w:rPr>
          <w:rFonts w:hint="eastAsia" w:hAnsi="宋体" w:cs="宋体"/>
          <w:color w:val="auto"/>
          <w:sz w:val="24"/>
          <w:szCs w:val="24"/>
          <w:highlight w:val="none"/>
          <w:lang w:eastAsia="zh-CN"/>
        </w:rPr>
        <w:t>评审价</w:t>
      </w:r>
      <w:r>
        <w:rPr>
          <w:rFonts w:hint="eastAsia" w:hAnsi="宋体" w:cs="宋体"/>
          <w:color w:val="auto"/>
          <w:sz w:val="24"/>
          <w:szCs w:val="24"/>
          <w:highlight w:val="none"/>
        </w:rPr>
        <w:t>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pStyle w:val="2"/>
        <w:shd w:val="clear" w:color="auto" w:fill="FFFFFF"/>
        <w:overflowPunct w:val="0"/>
        <w:spacing w:line="360" w:lineRule="auto"/>
        <w:rPr>
          <w:rFonts w:hint="eastAsia" w:ascii="宋体" w:hAnsi="宋体"/>
          <w:b/>
          <w:bCs/>
          <w:color w:val="auto"/>
          <w:sz w:val="24"/>
          <w:highlight w:val="none"/>
        </w:rPr>
      </w:pPr>
      <w:r>
        <w:rPr>
          <w:rFonts w:hint="eastAsia" w:cs="宋体"/>
          <w:color w:val="auto"/>
          <w:sz w:val="24"/>
          <w:szCs w:val="24"/>
          <w:highlight w:val="none"/>
        </w:rPr>
        <w:t>（二）</w:t>
      </w:r>
      <w:r>
        <w:rPr>
          <w:rFonts w:hint="eastAsia" w:ascii="宋体" w:hAnsi="宋体" w:eastAsia="宋体" w:cs="宋体"/>
          <w:color w:val="auto"/>
          <w:sz w:val="24"/>
          <w:szCs w:val="24"/>
          <w:highlight w:val="none"/>
          <w:lang w:val="en-US" w:eastAsia="zh-CN" w:bidi="ar-SA"/>
        </w:rPr>
        <w:t>谈判小组认为，某供应商的有效报价或者某些分项报价明显不合理或者低于成本，有可能影响工程质量和不能诚信履约的，应要求其在规定的期限内提供书面文件予以解释说明，并提交相关证明材料，否则，谈判小组可以取消该供应商的成交候选人资格，按顺序由排在后面的成交候选人递补，以此类推。</w:t>
      </w:r>
    </w:p>
    <w:p>
      <w:pPr>
        <w:wordWrap w:val="0"/>
        <w:spacing w:line="300" w:lineRule="auto"/>
        <w:rPr>
          <w:rFonts w:ascii="宋体" w:hAnsi="宋体"/>
          <w:color w:val="auto"/>
          <w:szCs w:val="21"/>
          <w:highlight w:val="none"/>
        </w:rPr>
      </w:pPr>
    </w:p>
    <w:p>
      <w:pPr>
        <w:pStyle w:val="2"/>
      </w:pPr>
    </w:p>
    <w:p>
      <w:pPr>
        <w:tabs>
          <w:tab w:val="left" w:pos="2757"/>
        </w:tabs>
        <w:rPr>
          <w:color w:val="auto"/>
          <w:highlight w:val="none"/>
        </w:rPr>
      </w:pPr>
      <w:bookmarkStart w:id="141" w:name="_Toc71366061"/>
      <w:bookmarkEnd w:id="141"/>
      <w:bookmarkStart w:id="142" w:name="_Toc71365383"/>
      <w:bookmarkEnd w:id="142"/>
    </w:p>
    <w:sectPr>
      <w:headerReference r:id="rId10" w:type="default"/>
      <w:footerReference r:id="rId11" w:type="default"/>
      <w:pgSz w:w="11906" w:h="16838"/>
      <w:pgMar w:top="1134" w:right="1134" w:bottom="1134" w:left="1134"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rPr>
        <w:rFonts w:hAnsi="Times New Roman"/>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jc w:val="right"/>
      <w:rPr>
        <w:rFonts w:hAnsi="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jc w:val="center"/>
      <w:rPr>
        <w:rFonts w:hAnsi="Times New Roman"/>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FFB34"/>
    <w:multiLevelType w:val="singleLevel"/>
    <w:tmpl w:val="071FFB34"/>
    <w:lvl w:ilvl="0" w:tentative="0">
      <w:start w:val="1"/>
      <w:numFmt w:val="decimal"/>
      <w:suff w:val="space"/>
      <w:lvlText w:val="%1."/>
      <w:lvlJc w:val="left"/>
    </w:lvl>
  </w:abstractNum>
  <w:abstractNum w:abstractNumId="1">
    <w:nsid w:val="1D90806D"/>
    <w:multiLevelType w:val="singleLevel"/>
    <w:tmpl w:val="1D90806D"/>
    <w:lvl w:ilvl="0" w:tentative="0">
      <w:start w:val="4"/>
      <w:numFmt w:val="chineseCounting"/>
      <w:suff w:val="nothing"/>
      <w:lvlText w:val="%1、"/>
      <w:lvlJc w:val="left"/>
      <w:rPr>
        <w:rFonts w:hint="eastAsia"/>
      </w:rPr>
    </w:lvl>
  </w:abstractNum>
  <w:abstractNum w:abstractNumId="2">
    <w:nsid w:val="30F12519"/>
    <w:multiLevelType w:val="singleLevel"/>
    <w:tmpl w:val="30F12519"/>
    <w:lvl w:ilvl="0" w:tentative="0">
      <w:start w:val="1"/>
      <w:numFmt w:val="decimal"/>
      <w:suff w:val="space"/>
      <w:lvlText w:val="%1."/>
      <w:lvlJc w:val="left"/>
    </w:lvl>
  </w:abstractNum>
  <w:abstractNum w:abstractNumId="3">
    <w:nsid w:val="4CB7FEBB"/>
    <w:multiLevelType w:val="singleLevel"/>
    <w:tmpl w:val="4CB7FEBB"/>
    <w:lvl w:ilvl="0" w:tentative="0">
      <w:start w:val="3"/>
      <w:numFmt w:val="chineseCounting"/>
      <w:suff w:val="space"/>
      <w:lvlText w:val="第%1章"/>
      <w:lvlJc w:val="left"/>
      <w:rPr>
        <w:rFonts w:hint="eastAsia"/>
      </w:rPr>
    </w:lvl>
  </w:abstractNum>
  <w:abstractNum w:abstractNumId="4">
    <w:nsid w:val="56814A4F"/>
    <w:multiLevelType w:val="multilevel"/>
    <w:tmpl w:val="56814A4F"/>
    <w:lvl w:ilvl="0" w:tentative="0">
      <w:start w:val="1"/>
      <w:numFmt w:val="decimal"/>
      <w:lvlText w:val="(%1)"/>
      <w:lvlJc w:val="left"/>
      <w:pPr>
        <w:tabs>
          <w:tab w:val="left" w:pos="780"/>
        </w:tabs>
        <w:ind w:left="780" w:hanging="360"/>
      </w:pPr>
      <w:rPr>
        <w:rFonts w:hint="eastAsia"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2NjNhMGE5ZDY3YmMxNWQ5NzRiYzE5MDk0ZjY1NjEifQ=="/>
  </w:docVars>
  <w:rsids>
    <w:rsidRoot w:val="00172A27"/>
    <w:rsid w:val="00001E2C"/>
    <w:rsid w:val="00002700"/>
    <w:rsid w:val="000171AB"/>
    <w:rsid w:val="00027DE5"/>
    <w:rsid w:val="00034E27"/>
    <w:rsid w:val="000350E1"/>
    <w:rsid w:val="00041B20"/>
    <w:rsid w:val="00053A4D"/>
    <w:rsid w:val="00062F0F"/>
    <w:rsid w:val="000822E2"/>
    <w:rsid w:val="00091AB8"/>
    <w:rsid w:val="000A0684"/>
    <w:rsid w:val="000A417F"/>
    <w:rsid w:val="000A4A52"/>
    <w:rsid w:val="000E29A9"/>
    <w:rsid w:val="000E62CE"/>
    <w:rsid w:val="000F6288"/>
    <w:rsid w:val="000F720E"/>
    <w:rsid w:val="0010547B"/>
    <w:rsid w:val="00106227"/>
    <w:rsid w:val="001303F7"/>
    <w:rsid w:val="0013753C"/>
    <w:rsid w:val="00141F1A"/>
    <w:rsid w:val="001505FE"/>
    <w:rsid w:val="00171CAD"/>
    <w:rsid w:val="00172A27"/>
    <w:rsid w:val="0017710C"/>
    <w:rsid w:val="00194D78"/>
    <w:rsid w:val="001B35D3"/>
    <w:rsid w:val="001C1633"/>
    <w:rsid w:val="001C5E0A"/>
    <w:rsid w:val="001D27E0"/>
    <w:rsid w:val="001D5766"/>
    <w:rsid w:val="001E1DD2"/>
    <w:rsid w:val="001E6AFC"/>
    <w:rsid w:val="00207533"/>
    <w:rsid w:val="002143EE"/>
    <w:rsid w:val="00220181"/>
    <w:rsid w:val="00224005"/>
    <w:rsid w:val="00231BC4"/>
    <w:rsid w:val="00247593"/>
    <w:rsid w:val="00265956"/>
    <w:rsid w:val="002851F3"/>
    <w:rsid w:val="002B4548"/>
    <w:rsid w:val="002D1AD9"/>
    <w:rsid w:val="002D4036"/>
    <w:rsid w:val="002E3F5B"/>
    <w:rsid w:val="002E67F7"/>
    <w:rsid w:val="002F274A"/>
    <w:rsid w:val="00315E58"/>
    <w:rsid w:val="00316A3C"/>
    <w:rsid w:val="003320B9"/>
    <w:rsid w:val="00332171"/>
    <w:rsid w:val="00344171"/>
    <w:rsid w:val="0034576C"/>
    <w:rsid w:val="00347106"/>
    <w:rsid w:val="00370AD0"/>
    <w:rsid w:val="00380F12"/>
    <w:rsid w:val="00390424"/>
    <w:rsid w:val="003F2EA2"/>
    <w:rsid w:val="003F651E"/>
    <w:rsid w:val="00400198"/>
    <w:rsid w:val="00400921"/>
    <w:rsid w:val="00404673"/>
    <w:rsid w:val="0042576C"/>
    <w:rsid w:val="004263C1"/>
    <w:rsid w:val="00433EFB"/>
    <w:rsid w:val="00443E2F"/>
    <w:rsid w:val="00470187"/>
    <w:rsid w:val="00475290"/>
    <w:rsid w:val="00492410"/>
    <w:rsid w:val="004B5A72"/>
    <w:rsid w:val="004C5719"/>
    <w:rsid w:val="004F07A2"/>
    <w:rsid w:val="004F3A48"/>
    <w:rsid w:val="004F78DE"/>
    <w:rsid w:val="00507725"/>
    <w:rsid w:val="0051447A"/>
    <w:rsid w:val="00531A4A"/>
    <w:rsid w:val="00533210"/>
    <w:rsid w:val="00546B6A"/>
    <w:rsid w:val="00562873"/>
    <w:rsid w:val="00562E23"/>
    <w:rsid w:val="00577729"/>
    <w:rsid w:val="00586970"/>
    <w:rsid w:val="00586A12"/>
    <w:rsid w:val="0059058B"/>
    <w:rsid w:val="005B09CE"/>
    <w:rsid w:val="005D035F"/>
    <w:rsid w:val="005D2438"/>
    <w:rsid w:val="005E3FF3"/>
    <w:rsid w:val="005E521B"/>
    <w:rsid w:val="00603E82"/>
    <w:rsid w:val="006053EE"/>
    <w:rsid w:val="006141AD"/>
    <w:rsid w:val="0062499F"/>
    <w:rsid w:val="0063429A"/>
    <w:rsid w:val="006524FE"/>
    <w:rsid w:val="00652C3D"/>
    <w:rsid w:val="00663890"/>
    <w:rsid w:val="00685907"/>
    <w:rsid w:val="006F0395"/>
    <w:rsid w:val="006F0547"/>
    <w:rsid w:val="006F4243"/>
    <w:rsid w:val="0070202B"/>
    <w:rsid w:val="00707BD9"/>
    <w:rsid w:val="00717295"/>
    <w:rsid w:val="007320AF"/>
    <w:rsid w:val="00744E71"/>
    <w:rsid w:val="0075683D"/>
    <w:rsid w:val="00762346"/>
    <w:rsid w:val="00772167"/>
    <w:rsid w:val="00780A82"/>
    <w:rsid w:val="00784967"/>
    <w:rsid w:val="0079071A"/>
    <w:rsid w:val="00796903"/>
    <w:rsid w:val="007976B2"/>
    <w:rsid w:val="007A7AC4"/>
    <w:rsid w:val="007C45DB"/>
    <w:rsid w:val="007C63CC"/>
    <w:rsid w:val="007D5BE5"/>
    <w:rsid w:val="007E1CC3"/>
    <w:rsid w:val="007E5F0E"/>
    <w:rsid w:val="007E6B3A"/>
    <w:rsid w:val="007F3D11"/>
    <w:rsid w:val="00801303"/>
    <w:rsid w:val="00817640"/>
    <w:rsid w:val="0082740E"/>
    <w:rsid w:val="008369DA"/>
    <w:rsid w:val="00844E10"/>
    <w:rsid w:val="00850BB1"/>
    <w:rsid w:val="0085674C"/>
    <w:rsid w:val="00872FA5"/>
    <w:rsid w:val="008854C6"/>
    <w:rsid w:val="00891C22"/>
    <w:rsid w:val="008B1621"/>
    <w:rsid w:val="008D59E6"/>
    <w:rsid w:val="008F430B"/>
    <w:rsid w:val="00901024"/>
    <w:rsid w:val="00903111"/>
    <w:rsid w:val="0093082F"/>
    <w:rsid w:val="00937F32"/>
    <w:rsid w:val="009666CD"/>
    <w:rsid w:val="009A7B1E"/>
    <w:rsid w:val="009E6009"/>
    <w:rsid w:val="009E6330"/>
    <w:rsid w:val="009F357E"/>
    <w:rsid w:val="009F5FEE"/>
    <w:rsid w:val="00A45F4E"/>
    <w:rsid w:val="00A821B2"/>
    <w:rsid w:val="00AB6D8C"/>
    <w:rsid w:val="00AC22BC"/>
    <w:rsid w:val="00AC5BB7"/>
    <w:rsid w:val="00B35F22"/>
    <w:rsid w:val="00B7604B"/>
    <w:rsid w:val="00B7682B"/>
    <w:rsid w:val="00B864E1"/>
    <w:rsid w:val="00B91F15"/>
    <w:rsid w:val="00B96DF5"/>
    <w:rsid w:val="00BC1057"/>
    <w:rsid w:val="00BC392C"/>
    <w:rsid w:val="00C030FA"/>
    <w:rsid w:val="00C20E21"/>
    <w:rsid w:val="00C2288D"/>
    <w:rsid w:val="00C35BFF"/>
    <w:rsid w:val="00C43050"/>
    <w:rsid w:val="00C519E9"/>
    <w:rsid w:val="00C5253B"/>
    <w:rsid w:val="00C60FB4"/>
    <w:rsid w:val="00C63C26"/>
    <w:rsid w:val="00C6687F"/>
    <w:rsid w:val="00C75749"/>
    <w:rsid w:val="00C86B03"/>
    <w:rsid w:val="00C970C6"/>
    <w:rsid w:val="00CA011C"/>
    <w:rsid w:val="00CB59F4"/>
    <w:rsid w:val="00CD5199"/>
    <w:rsid w:val="00CD57F7"/>
    <w:rsid w:val="00CE3028"/>
    <w:rsid w:val="00CE6CCD"/>
    <w:rsid w:val="00CF0D2C"/>
    <w:rsid w:val="00D045DD"/>
    <w:rsid w:val="00D247A6"/>
    <w:rsid w:val="00D249EA"/>
    <w:rsid w:val="00D673CE"/>
    <w:rsid w:val="00D94C9D"/>
    <w:rsid w:val="00DA4C4C"/>
    <w:rsid w:val="00DF14AF"/>
    <w:rsid w:val="00E221BF"/>
    <w:rsid w:val="00E266C8"/>
    <w:rsid w:val="00E459E3"/>
    <w:rsid w:val="00E52ABC"/>
    <w:rsid w:val="00E60C37"/>
    <w:rsid w:val="00E67A8A"/>
    <w:rsid w:val="00E80333"/>
    <w:rsid w:val="00ED1995"/>
    <w:rsid w:val="00ED3A9B"/>
    <w:rsid w:val="00EE37E5"/>
    <w:rsid w:val="00EE6875"/>
    <w:rsid w:val="00EF6FCF"/>
    <w:rsid w:val="00F12577"/>
    <w:rsid w:val="00F358D8"/>
    <w:rsid w:val="00F52CAA"/>
    <w:rsid w:val="00F66FBE"/>
    <w:rsid w:val="00F701F2"/>
    <w:rsid w:val="00F77F4E"/>
    <w:rsid w:val="00F977F9"/>
    <w:rsid w:val="00FA37CA"/>
    <w:rsid w:val="00FD31E8"/>
    <w:rsid w:val="01D07B9E"/>
    <w:rsid w:val="01DD5D6B"/>
    <w:rsid w:val="01F20634"/>
    <w:rsid w:val="02A86215"/>
    <w:rsid w:val="02D44561"/>
    <w:rsid w:val="02DC1A7B"/>
    <w:rsid w:val="030E5121"/>
    <w:rsid w:val="03364AD7"/>
    <w:rsid w:val="034A4940"/>
    <w:rsid w:val="036E2937"/>
    <w:rsid w:val="0379703E"/>
    <w:rsid w:val="03811CF2"/>
    <w:rsid w:val="038C11BF"/>
    <w:rsid w:val="03BA41DB"/>
    <w:rsid w:val="04D36E3A"/>
    <w:rsid w:val="05246996"/>
    <w:rsid w:val="05571F97"/>
    <w:rsid w:val="061A3713"/>
    <w:rsid w:val="069842A0"/>
    <w:rsid w:val="06A44F4B"/>
    <w:rsid w:val="071A4CB0"/>
    <w:rsid w:val="072E1CCA"/>
    <w:rsid w:val="07643387"/>
    <w:rsid w:val="08544435"/>
    <w:rsid w:val="0855063A"/>
    <w:rsid w:val="087A414D"/>
    <w:rsid w:val="08E33653"/>
    <w:rsid w:val="0A032E28"/>
    <w:rsid w:val="0A09042E"/>
    <w:rsid w:val="0A5205E6"/>
    <w:rsid w:val="0AE07BC8"/>
    <w:rsid w:val="0AED3D82"/>
    <w:rsid w:val="0B3B0375"/>
    <w:rsid w:val="0B5617D0"/>
    <w:rsid w:val="0B57548D"/>
    <w:rsid w:val="0B614F75"/>
    <w:rsid w:val="0BDA1EE5"/>
    <w:rsid w:val="0C033703"/>
    <w:rsid w:val="0C0A22C0"/>
    <w:rsid w:val="0C410B0C"/>
    <w:rsid w:val="0CF67D0F"/>
    <w:rsid w:val="0D1004D9"/>
    <w:rsid w:val="0D702F15"/>
    <w:rsid w:val="0D9D3B46"/>
    <w:rsid w:val="0DE72ECF"/>
    <w:rsid w:val="0E26212F"/>
    <w:rsid w:val="0E727599"/>
    <w:rsid w:val="0EAB55BC"/>
    <w:rsid w:val="0F17719A"/>
    <w:rsid w:val="0F58392F"/>
    <w:rsid w:val="0FD473DA"/>
    <w:rsid w:val="0FED1C75"/>
    <w:rsid w:val="100B05F1"/>
    <w:rsid w:val="10374F06"/>
    <w:rsid w:val="108260FD"/>
    <w:rsid w:val="10FA1EAC"/>
    <w:rsid w:val="11064EF6"/>
    <w:rsid w:val="11466CD7"/>
    <w:rsid w:val="11495B0F"/>
    <w:rsid w:val="11521CB9"/>
    <w:rsid w:val="117A5FE1"/>
    <w:rsid w:val="117B6038"/>
    <w:rsid w:val="11881E74"/>
    <w:rsid w:val="11A4260F"/>
    <w:rsid w:val="11AB064F"/>
    <w:rsid w:val="11B70AE7"/>
    <w:rsid w:val="11CB1D09"/>
    <w:rsid w:val="122C6E50"/>
    <w:rsid w:val="129A6A1E"/>
    <w:rsid w:val="129C078D"/>
    <w:rsid w:val="12B143EC"/>
    <w:rsid w:val="13531CEB"/>
    <w:rsid w:val="13C94267"/>
    <w:rsid w:val="13CE71AD"/>
    <w:rsid w:val="13FF370A"/>
    <w:rsid w:val="140776A0"/>
    <w:rsid w:val="14437F36"/>
    <w:rsid w:val="14CD2708"/>
    <w:rsid w:val="150945DC"/>
    <w:rsid w:val="15D471CA"/>
    <w:rsid w:val="167E3015"/>
    <w:rsid w:val="172113B1"/>
    <w:rsid w:val="174B0F87"/>
    <w:rsid w:val="177C0146"/>
    <w:rsid w:val="177F058C"/>
    <w:rsid w:val="17BC7CE2"/>
    <w:rsid w:val="190265D6"/>
    <w:rsid w:val="190343DD"/>
    <w:rsid w:val="191306C3"/>
    <w:rsid w:val="19541104"/>
    <w:rsid w:val="19641CFD"/>
    <w:rsid w:val="198A724D"/>
    <w:rsid w:val="19D92DC8"/>
    <w:rsid w:val="19DB0FBA"/>
    <w:rsid w:val="19F07E66"/>
    <w:rsid w:val="19FB4427"/>
    <w:rsid w:val="1A3C70F5"/>
    <w:rsid w:val="1A513802"/>
    <w:rsid w:val="1A5A43BE"/>
    <w:rsid w:val="1A841186"/>
    <w:rsid w:val="1A8A7701"/>
    <w:rsid w:val="1AAC6533"/>
    <w:rsid w:val="1B3809C7"/>
    <w:rsid w:val="1B5B2087"/>
    <w:rsid w:val="1B755D1F"/>
    <w:rsid w:val="1BA201ED"/>
    <w:rsid w:val="1C027091"/>
    <w:rsid w:val="1C0E6229"/>
    <w:rsid w:val="1C253311"/>
    <w:rsid w:val="1CE67B96"/>
    <w:rsid w:val="1D784A21"/>
    <w:rsid w:val="1D824530"/>
    <w:rsid w:val="1DA0698F"/>
    <w:rsid w:val="1E064F4B"/>
    <w:rsid w:val="1E164DC8"/>
    <w:rsid w:val="1E2A05EB"/>
    <w:rsid w:val="1E656DBF"/>
    <w:rsid w:val="1EA730F0"/>
    <w:rsid w:val="1F126D3F"/>
    <w:rsid w:val="1F213AC8"/>
    <w:rsid w:val="1F2F7661"/>
    <w:rsid w:val="1F69564E"/>
    <w:rsid w:val="1F854242"/>
    <w:rsid w:val="1FC90AE3"/>
    <w:rsid w:val="1FE85C28"/>
    <w:rsid w:val="1FF06356"/>
    <w:rsid w:val="20465BAD"/>
    <w:rsid w:val="20467A02"/>
    <w:rsid w:val="206930B0"/>
    <w:rsid w:val="208B78C6"/>
    <w:rsid w:val="20A078BA"/>
    <w:rsid w:val="20B4552C"/>
    <w:rsid w:val="20F04656"/>
    <w:rsid w:val="218A6608"/>
    <w:rsid w:val="219C3017"/>
    <w:rsid w:val="21EE30E8"/>
    <w:rsid w:val="222A0BDB"/>
    <w:rsid w:val="22914464"/>
    <w:rsid w:val="22A45076"/>
    <w:rsid w:val="22F664C5"/>
    <w:rsid w:val="23521CBD"/>
    <w:rsid w:val="23CC268A"/>
    <w:rsid w:val="23E40D67"/>
    <w:rsid w:val="24133D60"/>
    <w:rsid w:val="24163A8F"/>
    <w:rsid w:val="243729FB"/>
    <w:rsid w:val="246C2B13"/>
    <w:rsid w:val="250669AA"/>
    <w:rsid w:val="250953C3"/>
    <w:rsid w:val="25D971B4"/>
    <w:rsid w:val="26105DEF"/>
    <w:rsid w:val="26133841"/>
    <w:rsid w:val="26482304"/>
    <w:rsid w:val="265D64FB"/>
    <w:rsid w:val="26702AF9"/>
    <w:rsid w:val="26814249"/>
    <w:rsid w:val="26971108"/>
    <w:rsid w:val="26A07441"/>
    <w:rsid w:val="26AB5D85"/>
    <w:rsid w:val="26BD03F6"/>
    <w:rsid w:val="26E56F2E"/>
    <w:rsid w:val="272B2516"/>
    <w:rsid w:val="27500E14"/>
    <w:rsid w:val="280074F4"/>
    <w:rsid w:val="2801758C"/>
    <w:rsid w:val="28121EFC"/>
    <w:rsid w:val="28326A82"/>
    <w:rsid w:val="28C10B35"/>
    <w:rsid w:val="28FE1EB4"/>
    <w:rsid w:val="29470B43"/>
    <w:rsid w:val="29551789"/>
    <w:rsid w:val="2A0A2F1C"/>
    <w:rsid w:val="2A1D1446"/>
    <w:rsid w:val="2A2B418E"/>
    <w:rsid w:val="2A40173C"/>
    <w:rsid w:val="2A4813F6"/>
    <w:rsid w:val="2AEA0FEE"/>
    <w:rsid w:val="2B634CCB"/>
    <w:rsid w:val="2BCD0BCE"/>
    <w:rsid w:val="2C132B15"/>
    <w:rsid w:val="2C302494"/>
    <w:rsid w:val="2C5F29F2"/>
    <w:rsid w:val="2C6C224F"/>
    <w:rsid w:val="2CDB4F90"/>
    <w:rsid w:val="2CE36573"/>
    <w:rsid w:val="2D422BB9"/>
    <w:rsid w:val="2D473EC2"/>
    <w:rsid w:val="2D650748"/>
    <w:rsid w:val="2D7918CE"/>
    <w:rsid w:val="2E0B5B8B"/>
    <w:rsid w:val="2E645B95"/>
    <w:rsid w:val="2E704221"/>
    <w:rsid w:val="2EAB5FD7"/>
    <w:rsid w:val="2EBA5744"/>
    <w:rsid w:val="2EC25FBF"/>
    <w:rsid w:val="2EC85381"/>
    <w:rsid w:val="2ED95805"/>
    <w:rsid w:val="2F50602F"/>
    <w:rsid w:val="2F571D23"/>
    <w:rsid w:val="2F5928D3"/>
    <w:rsid w:val="2F65128E"/>
    <w:rsid w:val="2F6E5A82"/>
    <w:rsid w:val="2F8C0F2F"/>
    <w:rsid w:val="2FA34546"/>
    <w:rsid w:val="300A408E"/>
    <w:rsid w:val="303346AD"/>
    <w:rsid w:val="30664AEB"/>
    <w:rsid w:val="30A139F1"/>
    <w:rsid w:val="30BD2B9F"/>
    <w:rsid w:val="30FA4276"/>
    <w:rsid w:val="31031022"/>
    <w:rsid w:val="31190629"/>
    <w:rsid w:val="31611C23"/>
    <w:rsid w:val="31C80AF5"/>
    <w:rsid w:val="32AC6B6A"/>
    <w:rsid w:val="3322229C"/>
    <w:rsid w:val="333B791A"/>
    <w:rsid w:val="335A2134"/>
    <w:rsid w:val="339030F3"/>
    <w:rsid w:val="33B95A18"/>
    <w:rsid w:val="33D36529"/>
    <w:rsid w:val="33E85698"/>
    <w:rsid w:val="33E9476B"/>
    <w:rsid w:val="341A0F3A"/>
    <w:rsid w:val="34265AB8"/>
    <w:rsid w:val="34307F7E"/>
    <w:rsid w:val="345A6FD0"/>
    <w:rsid w:val="349D513D"/>
    <w:rsid w:val="35782FFE"/>
    <w:rsid w:val="35B8402D"/>
    <w:rsid w:val="35F945D0"/>
    <w:rsid w:val="36495D10"/>
    <w:rsid w:val="3653733F"/>
    <w:rsid w:val="3661055D"/>
    <w:rsid w:val="36DF0939"/>
    <w:rsid w:val="36EB7F3F"/>
    <w:rsid w:val="378A0F24"/>
    <w:rsid w:val="37B373D5"/>
    <w:rsid w:val="37C079A5"/>
    <w:rsid w:val="381265D8"/>
    <w:rsid w:val="384416C0"/>
    <w:rsid w:val="386A1849"/>
    <w:rsid w:val="387F039A"/>
    <w:rsid w:val="38863C96"/>
    <w:rsid w:val="391C2A53"/>
    <w:rsid w:val="396A3053"/>
    <w:rsid w:val="396B7FCB"/>
    <w:rsid w:val="396F43AC"/>
    <w:rsid w:val="397925DA"/>
    <w:rsid w:val="39830641"/>
    <w:rsid w:val="39A8781A"/>
    <w:rsid w:val="39E24FC0"/>
    <w:rsid w:val="3A107C74"/>
    <w:rsid w:val="3A1F1E3C"/>
    <w:rsid w:val="3A5B234F"/>
    <w:rsid w:val="3AB161F0"/>
    <w:rsid w:val="3B112207"/>
    <w:rsid w:val="3B15391D"/>
    <w:rsid w:val="3B513174"/>
    <w:rsid w:val="3B6D154D"/>
    <w:rsid w:val="3BBE2205"/>
    <w:rsid w:val="3BBF361D"/>
    <w:rsid w:val="3BCA3FBF"/>
    <w:rsid w:val="3BD33CF3"/>
    <w:rsid w:val="3BE304F7"/>
    <w:rsid w:val="3C0D1400"/>
    <w:rsid w:val="3C32287B"/>
    <w:rsid w:val="3CBD650E"/>
    <w:rsid w:val="3CF2496A"/>
    <w:rsid w:val="3D071D20"/>
    <w:rsid w:val="3D42552F"/>
    <w:rsid w:val="3D501C4A"/>
    <w:rsid w:val="3D6169AD"/>
    <w:rsid w:val="3E3A06F4"/>
    <w:rsid w:val="3E4F69C6"/>
    <w:rsid w:val="3EA769D3"/>
    <w:rsid w:val="3EAF53EB"/>
    <w:rsid w:val="3EBF0EA0"/>
    <w:rsid w:val="3EE06230"/>
    <w:rsid w:val="3F622A54"/>
    <w:rsid w:val="3F6C15F7"/>
    <w:rsid w:val="3F965287"/>
    <w:rsid w:val="3FAA2F1E"/>
    <w:rsid w:val="403B580E"/>
    <w:rsid w:val="409177F8"/>
    <w:rsid w:val="40B80CEB"/>
    <w:rsid w:val="40D07738"/>
    <w:rsid w:val="40DB24E4"/>
    <w:rsid w:val="41127A7D"/>
    <w:rsid w:val="411323D3"/>
    <w:rsid w:val="415F428F"/>
    <w:rsid w:val="416B6487"/>
    <w:rsid w:val="41F16A05"/>
    <w:rsid w:val="4209049B"/>
    <w:rsid w:val="42860BEC"/>
    <w:rsid w:val="429D43C8"/>
    <w:rsid w:val="429F77BE"/>
    <w:rsid w:val="42A64E83"/>
    <w:rsid w:val="42AC1824"/>
    <w:rsid w:val="430F2676"/>
    <w:rsid w:val="432A241B"/>
    <w:rsid w:val="43C464C2"/>
    <w:rsid w:val="43CE4050"/>
    <w:rsid w:val="43F121F2"/>
    <w:rsid w:val="43FE77D7"/>
    <w:rsid w:val="44046DD7"/>
    <w:rsid w:val="443071E0"/>
    <w:rsid w:val="445D42AD"/>
    <w:rsid w:val="44E34649"/>
    <w:rsid w:val="44E428D9"/>
    <w:rsid w:val="453402A2"/>
    <w:rsid w:val="454B7BA4"/>
    <w:rsid w:val="45593D6B"/>
    <w:rsid w:val="45D066BD"/>
    <w:rsid w:val="460C5AFB"/>
    <w:rsid w:val="460D5887"/>
    <w:rsid w:val="461E35B1"/>
    <w:rsid w:val="462930BB"/>
    <w:rsid w:val="462A0691"/>
    <w:rsid w:val="464C4C3A"/>
    <w:rsid w:val="468C0EA6"/>
    <w:rsid w:val="46A649B7"/>
    <w:rsid w:val="47036B1B"/>
    <w:rsid w:val="471449FA"/>
    <w:rsid w:val="47194487"/>
    <w:rsid w:val="47255E5C"/>
    <w:rsid w:val="474E3B67"/>
    <w:rsid w:val="47945CBB"/>
    <w:rsid w:val="47BD144F"/>
    <w:rsid w:val="489A3F24"/>
    <w:rsid w:val="48A7019D"/>
    <w:rsid w:val="48AD74F4"/>
    <w:rsid w:val="48C44A50"/>
    <w:rsid w:val="49363385"/>
    <w:rsid w:val="49446A92"/>
    <w:rsid w:val="494B14C2"/>
    <w:rsid w:val="49722803"/>
    <w:rsid w:val="4A0A1B5F"/>
    <w:rsid w:val="4A5045E1"/>
    <w:rsid w:val="4A6971D8"/>
    <w:rsid w:val="4A7B1ED5"/>
    <w:rsid w:val="4A971D5E"/>
    <w:rsid w:val="4AB44EEE"/>
    <w:rsid w:val="4B030D86"/>
    <w:rsid w:val="4B085888"/>
    <w:rsid w:val="4B4C5BDA"/>
    <w:rsid w:val="4BE83EAB"/>
    <w:rsid w:val="4C587A51"/>
    <w:rsid w:val="4CA5048A"/>
    <w:rsid w:val="4D8350CD"/>
    <w:rsid w:val="4DB93D25"/>
    <w:rsid w:val="4E895803"/>
    <w:rsid w:val="4E965A7A"/>
    <w:rsid w:val="4E9A7F73"/>
    <w:rsid w:val="4F144212"/>
    <w:rsid w:val="4F1C0477"/>
    <w:rsid w:val="4F211DDD"/>
    <w:rsid w:val="4F307598"/>
    <w:rsid w:val="4FB31B2D"/>
    <w:rsid w:val="4FE43024"/>
    <w:rsid w:val="506866FF"/>
    <w:rsid w:val="507109B9"/>
    <w:rsid w:val="50761B8F"/>
    <w:rsid w:val="50DF1C2A"/>
    <w:rsid w:val="51123E24"/>
    <w:rsid w:val="515B3FF7"/>
    <w:rsid w:val="51733650"/>
    <w:rsid w:val="51B45A68"/>
    <w:rsid w:val="51D03F6B"/>
    <w:rsid w:val="51EC3F05"/>
    <w:rsid w:val="5221680B"/>
    <w:rsid w:val="5225717C"/>
    <w:rsid w:val="526320D9"/>
    <w:rsid w:val="52D2426D"/>
    <w:rsid w:val="53B340BA"/>
    <w:rsid w:val="53C133C5"/>
    <w:rsid w:val="54246B75"/>
    <w:rsid w:val="5484561B"/>
    <w:rsid w:val="54CE7277"/>
    <w:rsid w:val="55596F59"/>
    <w:rsid w:val="556C6F1F"/>
    <w:rsid w:val="55E82DB8"/>
    <w:rsid w:val="56111356"/>
    <w:rsid w:val="567B7553"/>
    <w:rsid w:val="57472724"/>
    <w:rsid w:val="574F356E"/>
    <w:rsid w:val="5784368A"/>
    <w:rsid w:val="57E77304"/>
    <w:rsid w:val="583E20EB"/>
    <w:rsid w:val="58474DB3"/>
    <w:rsid w:val="58836D75"/>
    <w:rsid w:val="588F529F"/>
    <w:rsid w:val="58EE4A7D"/>
    <w:rsid w:val="596C32FE"/>
    <w:rsid w:val="59EC6604"/>
    <w:rsid w:val="5A4D6EE0"/>
    <w:rsid w:val="5A535809"/>
    <w:rsid w:val="5A977557"/>
    <w:rsid w:val="5AD003A3"/>
    <w:rsid w:val="5B3F4C37"/>
    <w:rsid w:val="5B5E7AD1"/>
    <w:rsid w:val="5B780F87"/>
    <w:rsid w:val="5B7C3383"/>
    <w:rsid w:val="5BA47969"/>
    <w:rsid w:val="5BAF4501"/>
    <w:rsid w:val="5C040630"/>
    <w:rsid w:val="5C311F56"/>
    <w:rsid w:val="5C4949A4"/>
    <w:rsid w:val="5C6113A7"/>
    <w:rsid w:val="5C686132"/>
    <w:rsid w:val="5CB151E7"/>
    <w:rsid w:val="5CC9469F"/>
    <w:rsid w:val="5CCE0C07"/>
    <w:rsid w:val="5CE72655"/>
    <w:rsid w:val="5D122CF3"/>
    <w:rsid w:val="5D1A6514"/>
    <w:rsid w:val="5D9B232B"/>
    <w:rsid w:val="5DB54A28"/>
    <w:rsid w:val="5DBB5E61"/>
    <w:rsid w:val="5DFD4EDB"/>
    <w:rsid w:val="5E8D6E3B"/>
    <w:rsid w:val="5EF12758"/>
    <w:rsid w:val="5F00633E"/>
    <w:rsid w:val="5FAB66B9"/>
    <w:rsid w:val="5FAD797A"/>
    <w:rsid w:val="5FBC3E78"/>
    <w:rsid w:val="5FCA3FEB"/>
    <w:rsid w:val="5FFB3328"/>
    <w:rsid w:val="609D6EB8"/>
    <w:rsid w:val="60B206B6"/>
    <w:rsid w:val="60C43A8E"/>
    <w:rsid w:val="610925C8"/>
    <w:rsid w:val="610D574B"/>
    <w:rsid w:val="61360815"/>
    <w:rsid w:val="614441F4"/>
    <w:rsid w:val="61B966D9"/>
    <w:rsid w:val="61D0560F"/>
    <w:rsid w:val="6224555F"/>
    <w:rsid w:val="62612934"/>
    <w:rsid w:val="62814B1C"/>
    <w:rsid w:val="62973596"/>
    <w:rsid w:val="62C46F66"/>
    <w:rsid w:val="63455822"/>
    <w:rsid w:val="63536234"/>
    <w:rsid w:val="636278E6"/>
    <w:rsid w:val="636C779B"/>
    <w:rsid w:val="63737458"/>
    <w:rsid w:val="63A624F1"/>
    <w:rsid w:val="63CB3BFC"/>
    <w:rsid w:val="647C175B"/>
    <w:rsid w:val="64A10613"/>
    <w:rsid w:val="64E83C1C"/>
    <w:rsid w:val="655D5C3F"/>
    <w:rsid w:val="65753DD7"/>
    <w:rsid w:val="660E1648"/>
    <w:rsid w:val="663A2C3D"/>
    <w:rsid w:val="669E0853"/>
    <w:rsid w:val="66ED1880"/>
    <w:rsid w:val="68071BA7"/>
    <w:rsid w:val="68913C71"/>
    <w:rsid w:val="6909309B"/>
    <w:rsid w:val="69532BA3"/>
    <w:rsid w:val="696D68E7"/>
    <w:rsid w:val="69760F47"/>
    <w:rsid w:val="699835B8"/>
    <w:rsid w:val="6A0612C5"/>
    <w:rsid w:val="6A541BFB"/>
    <w:rsid w:val="6A924086"/>
    <w:rsid w:val="6AF72A3C"/>
    <w:rsid w:val="6B164A3A"/>
    <w:rsid w:val="6B3C16AA"/>
    <w:rsid w:val="6B494568"/>
    <w:rsid w:val="6B4D5394"/>
    <w:rsid w:val="6BB05D27"/>
    <w:rsid w:val="6BCA171F"/>
    <w:rsid w:val="6BF05E62"/>
    <w:rsid w:val="6C64118D"/>
    <w:rsid w:val="6CBD7275"/>
    <w:rsid w:val="6CC25F03"/>
    <w:rsid w:val="6CE06E06"/>
    <w:rsid w:val="6CEE48B4"/>
    <w:rsid w:val="6D495C5A"/>
    <w:rsid w:val="6D782562"/>
    <w:rsid w:val="6DCF6CFE"/>
    <w:rsid w:val="6E1D5D89"/>
    <w:rsid w:val="6E744487"/>
    <w:rsid w:val="6E7A28AA"/>
    <w:rsid w:val="6EA23B48"/>
    <w:rsid w:val="6F795309"/>
    <w:rsid w:val="6F8352D8"/>
    <w:rsid w:val="6FBE477F"/>
    <w:rsid w:val="6FC154E2"/>
    <w:rsid w:val="701E5AF7"/>
    <w:rsid w:val="703D11CA"/>
    <w:rsid w:val="70D9295E"/>
    <w:rsid w:val="712223FA"/>
    <w:rsid w:val="713251D1"/>
    <w:rsid w:val="71521822"/>
    <w:rsid w:val="718E3770"/>
    <w:rsid w:val="720800C4"/>
    <w:rsid w:val="72A12A1A"/>
    <w:rsid w:val="72EE6247"/>
    <w:rsid w:val="731536B9"/>
    <w:rsid w:val="732E7062"/>
    <w:rsid w:val="735A5289"/>
    <w:rsid w:val="73746CAE"/>
    <w:rsid w:val="73A4483D"/>
    <w:rsid w:val="73CA1B85"/>
    <w:rsid w:val="73F02D35"/>
    <w:rsid w:val="74116AEC"/>
    <w:rsid w:val="74145513"/>
    <w:rsid w:val="74292079"/>
    <w:rsid w:val="746B30C1"/>
    <w:rsid w:val="748157CD"/>
    <w:rsid w:val="7482565E"/>
    <w:rsid w:val="74A97587"/>
    <w:rsid w:val="74B71445"/>
    <w:rsid w:val="74CB36E3"/>
    <w:rsid w:val="75493695"/>
    <w:rsid w:val="757C79FB"/>
    <w:rsid w:val="75A637D7"/>
    <w:rsid w:val="760578D6"/>
    <w:rsid w:val="76561EB2"/>
    <w:rsid w:val="76A058F9"/>
    <w:rsid w:val="76C06B17"/>
    <w:rsid w:val="76CE3B21"/>
    <w:rsid w:val="76E4761D"/>
    <w:rsid w:val="76F809DE"/>
    <w:rsid w:val="779E1382"/>
    <w:rsid w:val="781A6FB5"/>
    <w:rsid w:val="788C70A2"/>
    <w:rsid w:val="78906BEE"/>
    <w:rsid w:val="79134885"/>
    <w:rsid w:val="7934545C"/>
    <w:rsid w:val="797029C3"/>
    <w:rsid w:val="79FC5A2F"/>
    <w:rsid w:val="7A072CED"/>
    <w:rsid w:val="7A513E12"/>
    <w:rsid w:val="7A5C7447"/>
    <w:rsid w:val="7AB56222"/>
    <w:rsid w:val="7ADB5996"/>
    <w:rsid w:val="7AF370C1"/>
    <w:rsid w:val="7AF4653C"/>
    <w:rsid w:val="7AFF2BC0"/>
    <w:rsid w:val="7B0E12AB"/>
    <w:rsid w:val="7B3121DA"/>
    <w:rsid w:val="7B6E5D6D"/>
    <w:rsid w:val="7B9E0AFE"/>
    <w:rsid w:val="7BE672C7"/>
    <w:rsid w:val="7BF03B2B"/>
    <w:rsid w:val="7C335A8C"/>
    <w:rsid w:val="7D056EC5"/>
    <w:rsid w:val="7D106C8C"/>
    <w:rsid w:val="7D3138AA"/>
    <w:rsid w:val="7DB14BAF"/>
    <w:rsid w:val="7DBD077C"/>
    <w:rsid w:val="7DC479E7"/>
    <w:rsid w:val="7DE444E8"/>
    <w:rsid w:val="7DFD0391"/>
    <w:rsid w:val="7E1C6174"/>
    <w:rsid w:val="7E322F7A"/>
    <w:rsid w:val="7E49615E"/>
    <w:rsid w:val="7FEB03A3"/>
    <w:rsid w:val="7FEB7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9" w:semiHidden="0" w:name="heading 3" w:locked="1"/>
    <w:lsdException w:qFormat="1" w:unhideWhenUsed="0" w:uiPriority="6" w:semiHidden="0" w:name="heading 4" w:locked="1"/>
    <w:lsdException w:qFormat="1" w:uiPriority="1"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1"/>
    <w:basedOn w:val="1"/>
    <w:next w:val="1"/>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locked/>
    <w:uiPriority w:val="9"/>
    <w:pPr>
      <w:keepNext/>
      <w:keepLines/>
      <w:spacing w:before="260" w:after="260" w:line="416" w:lineRule="auto"/>
      <w:outlineLvl w:val="2"/>
    </w:pPr>
    <w:rPr>
      <w:b/>
      <w:bCs/>
      <w:sz w:val="32"/>
      <w:szCs w:val="32"/>
    </w:rPr>
  </w:style>
  <w:style w:type="paragraph" w:styleId="6">
    <w:name w:val="heading 4"/>
    <w:basedOn w:val="1"/>
    <w:next w:val="1"/>
    <w:qFormat/>
    <w:locked/>
    <w:uiPriority w:val="6"/>
    <w:pPr>
      <w:keepNext/>
      <w:keepLines/>
      <w:tabs>
        <w:tab w:val="left" w:pos="2880"/>
      </w:tabs>
      <w:spacing w:before="280" w:after="290" w:line="376" w:lineRule="atLeast"/>
      <w:ind w:left="2880" w:hanging="360"/>
      <w:jc w:val="left"/>
      <w:outlineLvl w:val="3"/>
    </w:pPr>
    <w:rPr>
      <w:rFonts w:ascii="Arial" w:hAnsi="Arial" w:eastAsia="黑体" w:cs="Arial"/>
      <w:b/>
      <w:sz w:val="28"/>
      <w:szCs w:val="20"/>
    </w:rPr>
  </w:style>
  <w:style w:type="paragraph" w:styleId="7">
    <w:name w:val="heading 5"/>
    <w:basedOn w:val="1"/>
    <w:next w:val="1"/>
    <w:unhideWhenUsed/>
    <w:qFormat/>
    <w:locked/>
    <w:uiPriority w:val="1"/>
    <w:pPr>
      <w:jc w:val="center"/>
      <w:outlineLvl w:val="4"/>
    </w:pPr>
    <w:rPr>
      <w:rFonts w:hint="eastAsia"/>
      <w:b/>
      <w:sz w:val="32"/>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spacing w:line="360" w:lineRule="atLeast"/>
      <w:ind w:firstLine="420"/>
      <w:textAlignment w:val="baseline"/>
    </w:pPr>
    <w:rPr>
      <w:szCs w:val="20"/>
    </w:rPr>
  </w:style>
  <w:style w:type="paragraph" w:styleId="8">
    <w:name w:val="annotation text"/>
    <w:basedOn w:val="1"/>
    <w:link w:val="29"/>
    <w:qFormat/>
    <w:uiPriority w:val="99"/>
  </w:style>
  <w:style w:type="paragraph" w:styleId="9">
    <w:name w:val="Body Text"/>
    <w:basedOn w:val="1"/>
    <w:next w:val="1"/>
    <w:link w:val="31"/>
    <w:qFormat/>
    <w:uiPriority w:val="99"/>
    <w:pPr>
      <w:widowControl w:val="0"/>
      <w:adjustRightInd/>
      <w:snapToGrid/>
      <w:spacing w:after="0"/>
      <w:jc w:val="center"/>
    </w:pPr>
    <w:rPr>
      <w:rFonts w:ascii="Times New Roman" w:hAnsi="Times New Roman" w:eastAsia="宋体"/>
      <w:sz w:val="52"/>
      <w:szCs w:val="20"/>
    </w:rPr>
  </w:style>
  <w:style w:type="paragraph" w:styleId="10">
    <w:name w:val="Body Text Indent"/>
    <w:basedOn w:val="1"/>
    <w:qFormat/>
    <w:locked/>
    <w:uiPriority w:val="0"/>
    <w:pPr>
      <w:spacing w:line="200" w:lineRule="exact"/>
      <w:ind w:firstLine="301"/>
    </w:pPr>
    <w:rPr>
      <w:rFonts w:ascii="宋体" w:hAnsi="Courier New"/>
      <w:spacing w:val="-4"/>
      <w:sz w:val="18"/>
      <w:szCs w:val="20"/>
    </w:rPr>
  </w:style>
  <w:style w:type="paragraph" w:styleId="11">
    <w:name w:val="index 4"/>
    <w:basedOn w:val="1"/>
    <w:next w:val="1"/>
    <w:qFormat/>
    <w:locked/>
    <w:uiPriority w:val="99"/>
    <w:pPr>
      <w:ind w:left="600" w:leftChars="600"/>
    </w:pPr>
    <w:rPr>
      <w:szCs w:val="24"/>
    </w:rPr>
  </w:style>
  <w:style w:type="paragraph" w:styleId="12">
    <w:name w:val="Plain Text"/>
    <w:basedOn w:val="1"/>
    <w:link w:val="36"/>
    <w:qFormat/>
    <w:uiPriority w:val="99"/>
    <w:pPr>
      <w:widowControl w:val="0"/>
      <w:adjustRightInd/>
      <w:snapToGrid/>
      <w:spacing w:after="0"/>
      <w:jc w:val="both"/>
    </w:pPr>
    <w:rPr>
      <w:rFonts w:ascii="宋体" w:hAnsi="Times New Roman" w:eastAsia="宋体"/>
      <w:sz w:val="21"/>
      <w:szCs w:val="20"/>
    </w:rPr>
  </w:style>
  <w:style w:type="paragraph" w:styleId="13">
    <w:name w:val="Balloon Text"/>
    <w:basedOn w:val="1"/>
    <w:link w:val="33"/>
    <w:semiHidden/>
    <w:qFormat/>
    <w:uiPriority w:val="99"/>
    <w:rPr>
      <w:sz w:val="18"/>
      <w:szCs w:val="18"/>
    </w:rPr>
  </w:style>
  <w:style w:type="paragraph" w:styleId="14">
    <w:name w:val="footer"/>
    <w:basedOn w:val="1"/>
    <w:link w:val="34"/>
    <w:qFormat/>
    <w:uiPriority w:val="99"/>
    <w:pPr>
      <w:tabs>
        <w:tab w:val="center" w:pos="4153"/>
        <w:tab w:val="right" w:pos="8306"/>
      </w:tabs>
    </w:pPr>
    <w:rPr>
      <w:sz w:val="18"/>
      <w:szCs w:val="18"/>
    </w:rPr>
  </w:style>
  <w:style w:type="paragraph" w:styleId="15">
    <w:name w:val="header"/>
    <w:basedOn w:val="1"/>
    <w:link w:val="35"/>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unhideWhenUsed/>
    <w:qFormat/>
    <w:locked/>
    <w:uiPriority w:val="39"/>
  </w:style>
  <w:style w:type="paragraph" w:styleId="17">
    <w:name w:val="toc 2"/>
    <w:basedOn w:val="1"/>
    <w:next w:val="1"/>
    <w:unhideWhenUsed/>
    <w:qFormat/>
    <w:locked/>
    <w:uiPriority w:val="39"/>
    <w:pPr>
      <w:tabs>
        <w:tab w:val="right" w:leader="dot" w:pos="8296"/>
      </w:tabs>
      <w:ind w:left="420" w:leftChars="200"/>
    </w:pPr>
  </w:style>
  <w:style w:type="paragraph" w:styleId="18">
    <w:name w:val="Normal (Web)"/>
    <w:basedOn w:val="1"/>
    <w:next w:val="1"/>
    <w:qFormat/>
    <w:uiPriority w:val="99"/>
    <w:pPr>
      <w:adjustRightInd/>
      <w:snapToGrid/>
      <w:spacing w:before="280" w:after="280"/>
      <w:jc w:val="both"/>
    </w:pPr>
    <w:rPr>
      <w:rFonts w:ascii="宋体" w:hAnsi="Times New Roman" w:eastAsia="宋体"/>
      <w:sz w:val="24"/>
      <w:szCs w:val="20"/>
    </w:rPr>
  </w:style>
  <w:style w:type="paragraph" w:styleId="19">
    <w:name w:val="annotation subject"/>
    <w:basedOn w:val="8"/>
    <w:next w:val="8"/>
    <w:link w:val="30"/>
    <w:semiHidden/>
    <w:qFormat/>
    <w:uiPriority w:val="99"/>
    <w:rPr>
      <w:b/>
      <w:bCs/>
    </w:rPr>
  </w:style>
  <w:style w:type="paragraph" w:styleId="20">
    <w:name w:val="Body Text First Indent 2"/>
    <w:basedOn w:val="10"/>
    <w:qFormat/>
    <w:locked/>
    <w:uiPriority w:val="0"/>
    <w:pPr>
      <w:spacing w:before="100" w:beforeAutospacing="1" w:after="120"/>
      <w:ind w:left="420" w:leftChars="200" w:firstLine="420" w:firstLineChars="200"/>
    </w:pPr>
    <w:rPr>
      <w:rFonts w:ascii="Times New Roman" w:hAnsi="Times New Roman"/>
    </w:rPr>
  </w:style>
  <w:style w:type="table" w:styleId="22">
    <w:name w:val="Table Grid"/>
    <w:basedOn w:val="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locked/>
    <w:uiPriority w:val="22"/>
    <w:rPr>
      <w:b/>
    </w:rPr>
  </w:style>
  <w:style w:type="character" w:styleId="25">
    <w:name w:val="FollowedHyperlink"/>
    <w:basedOn w:val="23"/>
    <w:semiHidden/>
    <w:qFormat/>
    <w:uiPriority w:val="99"/>
    <w:rPr>
      <w:rFonts w:ascii="微软雅黑" w:hAnsi="微软雅黑" w:eastAsia="微软雅黑" w:cs="微软雅黑"/>
      <w:color w:val="02396F"/>
      <w:u w:val="single"/>
    </w:rPr>
  </w:style>
  <w:style w:type="character" w:styleId="26">
    <w:name w:val="Hyperlink"/>
    <w:basedOn w:val="23"/>
    <w:semiHidden/>
    <w:qFormat/>
    <w:uiPriority w:val="99"/>
    <w:rPr>
      <w:rFonts w:ascii="微软雅黑" w:hAnsi="微软雅黑" w:eastAsia="微软雅黑" w:cs="微软雅黑"/>
      <w:color w:val="02396F"/>
      <w:u w:val="single"/>
    </w:rPr>
  </w:style>
  <w:style w:type="character" w:styleId="27">
    <w:name w:val="annotation reference"/>
    <w:basedOn w:val="23"/>
    <w:semiHidden/>
    <w:qFormat/>
    <w:uiPriority w:val="99"/>
    <w:rPr>
      <w:rFonts w:cs="Times New Roman"/>
      <w:sz w:val="21"/>
      <w:szCs w:val="21"/>
    </w:rPr>
  </w:style>
  <w:style w:type="paragraph" w:customStyle="1" w:styleId="28">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29">
    <w:name w:val="批注文字 字符"/>
    <w:basedOn w:val="23"/>
    <w:link w:val="8"/>
    <w:semiHidden/>
    <w:qFormat/>
    <w:locked/>
    <w:uiPriority w:val="99"/>
    <w:rPr>
      <w:rFonts w:ascii="Tahoma" w:hAnsi="Tahoma" w:eastAsia="微软雅黑" w:cs="Times New Roman"/>
      <w:kern w:val="0"/>
      <w:sz w:val="22"/>
    </w:rPr>
  </w:style>
  <w:style w:type="character" w:customStyle="1" w:styleId="30">
    <w:name w:val="批注主题 字符"/>
    <w:basedOn w:val="29"/>
    <w:link w:val="19"/>
    <w:semiHidden/>
    <w:qFormat/>
    <w:locked/>
    <w:uiPriority w:val="99"/>
    <w:rPr>
      <w:rFonts w:ascii="Tahoma" w:hAnsi="Tahoma" w:eastAsia="微软雅黑" w:cs="Times New Roman"/>
      <w:b/>
      <w:bCs/>
      <w:kern w:val="0"/>
      <w:sz w:val="22"/>
    </w:rPr>
  </w:style>
  <w:style w:type="character" w:customStyle="1" w:styleId="31">
    <w:name w:val="正文文本 字符"/>
    <w:basedOn w:val="23"/>
    <w:link w:val="9"/>
    <w:semiHidden/>
    <w:qFormat/>
    <w:locked/>
    <w:uiPriority w:val="99"/>
    <w:rPr>
      <w:rFonts w:ascii="Tahoma" w:hAnsi="Tahoma" w:eastAsia="微软雅黑" w:cs="Times New Roman"/>
      <w:kern w:val="0"/>
      <w:sz w:val="22"/>
    </w:rPr>
  </w:style>
  <w:style w:type="character" w:customStyle="1" w:styleId="32">
    <w:name w:val="Plain Text Char"/>
    <w:basedOn w:val="23"/>
    <w:semiHidden/>
    <w:qFormat/>
    <w:locked/>
    <w:uiPriority w:val="99"/>
    <w:rPr>
      <w:rFonts w:ascii="宋体" w:hAnsi="Courier New" w:cs="Courier New"/>
      <w:kern w:val="0"/>
      <w:sz w:val="21"/>
      <w:szCs w:val="21"/>
    </w:rPr>
  </w:style>
  <w:style w:type="character" w:customStyle="1" w:styleId="33">
    <w:name w:val="批注框文本 字符"/>
    <w:basedOn w:val="23"/>
    <w:link w:val="13"/>
    <w:semiHidden/>
    <w:qFormat/>
    <w:locked/>
    <w:uiPriority w:val="99"/>
    <w:rPr>
      <w:rFonts w:ascii="Tahoma" w:hAnsi="Tahoma" w:eastAsia="微软雅黑" w:cs="Times New Roman"/>
      <w:kern w:val="0"/>
      <w:sz w:val="2"/>
    </w:rPr>
  </w:style>
  <w:style w:type="character" w:customStyle="1" w:styleId="34">
    <w:name w:val="页脚 字符"/>
    <w:basedOn w:val="23"/>
    <w:link w:val="14"/>
    <w:semiHidden/>
    <w:qFormat/>
    <w:locked/>
    <w:uiPriority w:val="99"/>
    <w:rPr>
      <w:rFonts w:ascii="Tahoma" w:hAnsi="Tahoma" w:eastAsia="微软雅黑" w:cs="Times New Roman"/>
      <w:kern w:val="0"/>
      <w:sz w:val="18"/>
      <w:szCs w:val="18"/>
    </w:rPr>
  </w:style>
  <w:style w:type="character" w:customStyle="1" w:styleId="35">
    <w:name w:val="页眉 字符"/>
    <w:basedOn w:val="23"/>
    <w:link w:val="15"/>
    <w:semiHidden/>
    <w:qFormat/>
    <w:locked/>
    <w:uiPriority w:val="99"/>
    <w:rPr>
      <w:rFonts w:ascii="Tahoma" w:hAnsi="Tahoma" w:eastAsia="微软雅黑" w:cs="Times New Roman"/>
      <w:kern w:val="0"/>
      <w:sz w:val="18"/>
      <w:szCs w:val="18"/>
    </w:rPr>
  </w:style>
  <w:style w:type="character" w:customStyle="1" w:styleId="36">
    <w:name w:val="纯文本 字符"/>
    <w:link w:val="12"/>
    <w:qFormat/>
    <w:locked/>
    <w:uiPriority w:val="99"/>
    <w:rPr>
      <w:rFonts w:ascii="宋体" w:eastAsia="宋体"/>
      <w:sz w:val="21"/>
      <w:lang w:val="en-US" w:eastAsia="zh-CN"/>
    </w:rPr>
  </w:style>
  <w:style w:type="character" w:customStyle="1" w:styleId="37">
    <w:name w:val="gjfg"/>
    <w:basedOn w:val="23"/>
    <w:qFormat/>
    <w:uiPriority w:val="99"/>
    <w:rPr>
      <w:rFonts w:cs="Times New Roman"/>
    </w:rPr>
  </w:style>
  <w:style w:type="character" w:customStyle="1" w:styleId="38">
    <w:name w:val="cfdate"/>
    <w:basedOn w:val="23"/>
    <w:qFormat/>
    <w:uiPriority w:val="99"/>
    <w:rPr>
      <w:rFonts w:cs="Times New Roman"/>
      <w:color w:val="333333"/>
      <w:sz w:val="18"/>
      <w:szCs w:val="18"/>
    </w:rPr>
  </w:style>
  <w:style w:type="character" w:customStyle="1" w:styleId="39">
    <w:name w:val="displayarti"/>
    <w:basedOn w:val="23"/>
    <w:qFormat/>
    <w:uiPriority w:val="99"/>
    <w:rPr>
      <w:rFonts w:cs="Times New Roman"/>
      <w:color w:val="FFFFFF"/>
      <w:shd w:val="clear" w:color="auto" w:fill="A00000"/>
    </w:rPr>
  </w:style>
  <w:style w:type="character" w:customStyle="1" w:styleId="40">
    <w:name w:val="redfilenumber"/>
    <w:basedOn w:val="23"/>
    <w:qFormat/>
    <w:uiPriority w:val="99"/>
    <w:rPr>
      <w:rFonts w:cs="Times New Roman"/>
      <w:color w:val="BA2636"/>
      <w:sz w:val="18"/>
      <w:szCs w:val="18"/>
    </w:rPr>
  </w:style>
  <w:style w:type="character" w:customStyle="1" w:styleId="41">
    <w:name w:val="qxdate"/>
    <w:basedOn w:val="23"/>
    <w:qFormat/>
    <w:uiPriority w:val="99"/>
    <w:rPr>
      <w:rFonts w:cs="Times New Roman"/>
      <w:color w:val="333333"/>
      <w:sz w:val="18"/>
      <w:szCs w:val="18"/>
    </w:rPr>
  </w:style>
  <w:style w:type="character" w:customStyle="1" w:styleId="42">
    <w:name w:val="redfilefwwh"/>
    <w:basedOn w:val="23"/>
    <w:qFormat/>
    <w:uiPriority w:val="99"/>
    <w:rPr>
      <w:rFonts w:cs="Times New Roman"/>
      <w:color w:val="BA2636"/>
      <w:sz w:val="18"/>
      <w:szCs w:val="18"/>
    </w:rPr>
  </w:style>
  <w:style w:type="paragraph" w:customStyle="1" w:styleId="43">
    <w:name w:val="修订1"/>
    <w:hidden/>
    <w:qFormat/>
    <w:uiPriority w:val="99"/>
    <w:rPr>
      <w:rFonts w:ascii="Tahoma" w:hAnsi="Tahoma" w:eastAsia="微软雅黑" w:cs="Times New Roman"/>
      <w:sz w:val="22"/>
      <w:szCs w:val="22"/>
      <w:lang w:val="en-US" w:eastAsia="zh-CN" w:bidi="ar-SA"/>
    </w:rPr>
  </w:style>
  <w:style w:type="character" w:customStyle="1" w:styleId="44">
    <w:name w:val="font31"/>
    <w:basedOn w:val="23"/>
    <w:qFormat/>
    <w:uiPriority w:val="0"/>
    <w:rPr>
      <w:rFonts w:hint="eastAsia" w:ascii="宋体" w:hAnsi="宋体" w:eastAsia="宋体" w:cs="宋体"/>
      <w:color w:val="000000"/>
      <w:sz w:val="22"/>
      <w:szCs w:val="22"/>
      <w:u w:val="none"/>
    </w:rPr>
  </w:style>
  <w:style w:type="character" w:customStyle="1" w:styleId="45">
    <w:name w:val="font01"/>
    <w:basedOn w:val="23"/>
    <w:qFormat/>
    <w:uiPriority w:val="0"/>
    <w:rPr>
      <w:rFonts w:hint="eastAsia" w:ascii="宋体" w:hAnsi="宋体" w:eastAsia="宋体" w:cs="宋体"/>
      <w:color w:val="000000"/>
      <w:sz w:val="22"/>
      <w:szCs w:val="22"/>
      <w:u w:val="none"/>
    </w:rPr>
  </w:style>
  <w:style w:type="character" w:customStyle="1" w:styleId="46">
    <w:name w:val="NormalCharacter"/>
    <w:semiHidden/>
    <w:qFormat/>
    <w:uiPriority w:val="0"/>
    <w:rPr>
      <w:kern w:val="2"/>
      <w:sz w:val="21"/>
      <w:szCs w:val="24"/>
      <w:lang w:val="en-US" w:eastAsia="zh-CN" w:bidi="ar-SA"/>
    </w:rPr>
  </w:style>
  <w:style w:type="paragraph" w:customStyle="1" w:styleId="47">
    <w:name w:val="TOC5"/>
    <w:basedOn w:val="1"/>
    <w:next w:val="1"/>
    <w:qFormat/>
    <w:uiPriority w:val="0"/>
    <w:pPr>
      <w:ind w:left="1680" w:leftChars="800"/>
      <w:jc w:val="both"/>
      <w:textAlignment w:val="baseline"/>
    </w:pPr>
    <w:rPr>
      <w:rFonts w:ascii="Calibri" w:hAnsi="Calibri"/>
      <w:sz w:val="24"/>
    </w:rPr>
  </w:style>
  <w:style w:type="paragraph" w:customStyle="1" w:styleId="48">
    <w:name w:val="PlainText"/>
    <w:basedOn w:val="1"/>
    <w:next w:val="49"/>
    <w:qFormat/>
    <w:uiPriority w:val="0"/>
    <w:pPr>
      <w:jc w:val="both"/>
      <w:textAlignment w:val="baseline"/>
    </w:pPr>
    <w:rPr>
      <w:rFonts w:ascii="宋体" w:hAnsi="Courier New"/>
      <w:sz w:val="21"/>
      <w:szCs w:val="21"/>
    </w:rPr>
  </w:style>
  <w:style w:type="paragraph" w:customStyle="1" w:styleId="49">
    <w:name w:val="Heading4"/>
    <w:basedOn w:val="1"/>
    <w:next w:val="1"/>
    <w:qFormat/>
    <w:uiPriority w:val="0"/>
    <w:pPr>
      <w:keepNext/>
      <w:keepLines/>
      <w:spacing w:line="360" w:lineRule="auto"/>
      <w:jc w:val="both"/>
      <w:textAlignment w:val="baseline"/>
    </w:pPr>
    <w:rPr>
      <w:rFonts w:ascii="Arial" w:hAnsi="Arial"/>
      <w:b/>
      <w:kern w:val="2"/>
      <w:sz w:val="28"/>
      <w:szCs w:val="20"/>
    </w:rPr>
  </w:style>
  <w:style w:type="character" w:customStyle="1" w:styleId="50">
    <w:name w:val="font61"/>
    <w:basedOn w:val="23"/>
    <w:qFormat/>
    <w:uiPriority w:val="0"/>
    <w:rPr>
      <w:rFonts w:ascii="Calibri" w:hAnsi="Calibri" w:cs="Calibri"/>
      <w:color w:val="000000"/>
      <w:sz w:val="20"/>
      <w:szCs w:val="20"/>
      <w:u w:val="none"/>
    </w:rPr>
  </w:style>
  <w:style w:type="character" w:customStyle="1" w:styleId="51">
    <w:name w:val="font51"/>
    <w:basedOn w:val="23"/>
    <w:qFormat/>
    <w:uiPriority w:val="0"/>
    <w:rPr>
      <w:rFonts w:hint="eastAsia" w:ascii="宋体" w:hAnsi="宋体" w:eastAsia="宋体" w:cs="宋体"/>
      <w:color w:val="000000"/>
      <w:sz w:val="20"/>
      <w:szCs w:val="20"/>
      <w:u w:val="none"/>
    </w:rPr>
  </w:style>
  <w:style w:type="character" w:customStyle="1" w:styleId="52">
    <w:name w:val="font41"/>
    <w:basedOn w:val="23"/>
    <w:qFormat/>
    <w:uiPriority w:val="0"/>
    <w:rPr>
      <w:rFonts w:hint="eastAsia" w:ascii="宋体" w:hAnsi="宋体" w:eastAsia="宋体" w:cs="宋体"/>
      <w:color w:val="FF0000"/>
      <w:sz w:val="18"/>
      <w:szCs w:val="18"/>
      <w:u w:val="none"/>
    </w:rPr>
  </w:style>
  <w:style w:type="character" w:customStyle="1" w:styleId="53">
    <w:name w:val="font21"/>
    <w:basedOn w:val="23"/>
    <w:qFormat/>
    <w:uiPriority w:val="0"/>
    <w:rPr>
      <w:rFonts w:hint="eastAsia" w:ascii="宋体" w:hAnsi="宋体" w:eastAsia="宋体" w:cs="宋体"/>
      <w:color w:val="000000"/>
      <w:sz w:val="20"/>
      <w:szCs w:val="20"/>
      <w:u w:val="none"/>
    </w:rPr>
  </w:style>
  <w:style w:type="character" w:customStyle="1" w:styleId="54">
    <w:name w:val="font71"/>
    <w:basedOn w:val="23"/>
    <w:qFormat/>
    <w:uiPriority w:val="0"/>
    <w:rPr>
      <w:rFonts w:hint="eastAsia" w:ascii="宋体" w:hAnsi="宋体" w:eastAsia="宋体" w:cs="宋体"/>
      <w:color w:val="FF0000"/>
      <w:sz w:val="18"/>
      <w:szCs w:val="18"/>
      <w:u w:val="none"/>
    </w:rPr>
  </w:style>
  <w:style w:type="paragraph" w:customStyle="1" w:styleId="55">
    <w:name w:val="Table Paragraph"/>
    <w:qFormat/>
    <w:uiPriority w:val="1"/>
    <w:pPr>
      <w:widowControl w:val="0"/>
    </w:pPr>
    <w:rPr>
      <w:rFonts w:ascii="Calibri" w:hAnsi="Calibri" w:eastAsia="宋体" w:cs="Times New Roman"/>
      <w:sz w:val="22"/>
      <w:szCs w:val="22"/>
      <w:lang w:val="en-US" w:eastAsia="en-US" w:bidi="ar-SA"/>
    </w:rPr>
  </w:style>
  <w:style w:type="paragraph" w:customStyle="1" w:styleId="56">
    <w:name w:val="List Paragraph1"/>
    <w:basedOn w:val="1"/>
    <w:qFormat/>
    <w:uiPriority w:val="0"/>
    <w:pPr>
      <w:ind w:firstLine="420" w:firstLineChars="200"/>
    </w:pPr>
    <w:rPr>
      <w:szCs w:val="21"/>
    </w:rPr>
  </w:style>
  <w:style w:type="paragraph" w:customStyle="1" w:styleId="57">
    <w:name w:val="彩色列表1"/>
    <w:basedOn w:val="1"/>
    <w:qFormat/>
    <w:uiPriority w:val="99"/>
    <w:pPr>
      <w:ind w:firstLine="420" w:firstLineChars="200"/>
    </w:pPr>
    <w:rPr>
      <w:szCs w:val="24"/>
    </w:rPr>
  </w:style>
  <w:style w:type="paragraph" w:customStyle="1" w:styleId="58">
    <w:name w:val="Body text|1"/>
    <w:basedOn w:val="1"/>
    <w:qFormat/>
    <w:uiPriority w:val="99"/>
    <w:pPr>
      <w:spacing w:line="408" w:lineRule="auto"/>
      <w:ind w:firstLine="400"/>
    </w:pPr>
    <w:rPr>
      <w:rFonts w:ascii="宋体" w:hAnsi="宋体" w:cs="宋体"/>
      <w:sz w:val="26"/>
      <w:szCs w:val="26"/>
      <w:lang w:val="zh-TW" w:eastAsia="zh-TW"/>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19430</Words>
  <Characters>20829</Characters>
  <Lines>230</Lines>
  <Paragraphs>65</Paragraphs>
  <TotalTime>5</TotalTime>
  <ScaleCrop>false</ScaleCrop>
  <LinksUpToDate>false</LinksUpToDate>
  <CharactersWithSpaces>22356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2024-09-10T03:38:00Z</dcterms:created>
  <dc:creator>教头</dc:creator>
  <cp:lastModifiedBy>自治县中医医院</cp:lastModifiedBy>
  <cp:lastPrinted>2025-12-09T03:35:00Z</cp:lastPrinted>
  <dcterms:modified xsi:type="dcterms:W3CDTF">2025-12-11T07:01:42Z</dcterms:modified>
  <dc:title>广西天柱建设管理有限公司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40672EE2E1404DEEAF71F8FBE3C44320_13</vt:lpwstr>
  </property>
  <property fmtid="{D5CDD505-2E9C-101B-9397-08002B2CF9AE}" pid="4" name="KSOTemplateDocerSaveRecord">
    <vt:lpwstr>eyJoZGlkIjoiZmU4Y2ZjZTJmYTVmYWQyNGYxODJmMzhhNGNiZGRkZDQiLCJ1c2VySWQiOiI3NDI3NzM4MzEifQ==</vt:lpwstr>
  </property>
</Properties>
</file>