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27305</wp:posOffset>
                </wp:positionV>
                <wp:extent cx="5944235" cy="8255"/>
                <wp:effectExtent l="0" t="13970" r="14605" b="23495"/>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6.75pt;margin-top:2.15pt;height:0.65pt;width:468.05pt;z-index:251661312;mso-width-relative:page;mso-height-relative:page;" filled="f" stroked="t" coordsize="21600,21600" o:gfxdata="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h&#10;eXvVAAAABgEAAA8AAAAAAAAAAQAgAAAAIgAAAGRycy9kb3ducmV2LnhtbFBLAQIUABQAAAAIAIdO&#10;4kCHyPVk7QEAAOsDAAAOAAAAAAAAAAEAIAAAACQBAABkcnMvZTJvRG9jLnhtbFBLBQYAAAAABgAG&#10;AFkBAACDBQAAAAA=&#10;">
                <v:fill on="f" focussize="0,0"/>
                <v:stroke weight="2.25pt" color="#000000" joinstyle="round"/>
                <v:imagedata o:title=""/>
                <o:lock v:ext="edit" aspectratio="f"/>
              </v:line>
            </w:pict>
          </mc:Fallback>
        </mc:AlternateContent>
      </w:r>
    </w:p>
    <w:p>
      <w:pPr>
        <w:pStyle w:val="8"/>
        <w:rPr>
          <w:rFonts w:ascii="宋体" w:hAnsi="宋体" w:eastAsia="宋体" w:cs="宋体"/>
          <w:color w:val="auto"/>
          <w:highlight w:val="none"/>
        </w:rPr>
      </w:pPr>
    </w:p>
    <w:p>
      <w:pPr>
        <w:pStyle w:val="8"/>
        <w:rPr>
          <w:rFonts w:ascii="宋体" w:hAnsi="宋体" w:eastAsia="宋体" w:cs="宋体"/>
          <w:color w:val="auto"/>
          <w:highlight w:val="none"/>
        </w:rPr>
      </w:pPr>
    </w:p>
    <w:p>
      <w:pPr>
        <w:jc w:val="center"/>
        <w:rPr>
          <w:rFonts w:ascii="宋体" w:hAnsi="宋体" w:eastAsia="宋体" w:cs="宋体"/>
          <w:color w:val="auto"/>
          <w:sz w:val="90"/>
          <w:szCs w:val="90"/>
          <w:highlight w:val="none"/>
        </w:rPr>
      </w:pPr>
      <w:r>
        <w:rPr>
          <w:rFonts w:hint="eastAsia" w:ascii="宋体" w:hAnsi="宋体" w:eastAsia="宋体" w:cs="宋体"/>
          <w:color w:val="auto"/>
          <w:sz w:val="90"/>
          <w:szCs w:val="90"/>
          <w:highlight w:val="none"/>
        </w:rPr>
        <w:t>竞争性谈判采购文件</w:t>
      </w:r>
    </w:p>
    <w:p>
      <w:pPr>
        <w:rPr>
          <w:rFonts w:ascii="宋体" w:hAnsi="宋体" w:eastAsia="宋体" w:cs="宋体"/>
          <w:color w:val="auto"/>
          <w:sz w:val="52"/>
          <w:highlight w:val="none"/>
        </w:rPr>
      </w:pPr>
    </w:p>
    <w:p>
      <w:pPr>
        <w:pStyle w:val="5"/>
        <w:rPr>
          <w:rFonts w:ascii="宋体" w:hAnsi="宋体" w:eastAsia="宋体" w:cs="宋体"/>
          <w:color w:val="auto"/>
          <w:highlight w:val="none"/>
        </w:rPr>
      </w:pPr>
    </w:p>
    <w:p>
      <w:pPr>
        <w:rPr>
          <w:rFonts w:ascii="宋体" w:hAnsi="宋体" w:eastAsia="宋体" w:cs="宋体"/>
          <w:color w:val="auto"/>
          <w:sz w:val="32"/>
          <w:highlight w:val="none"/>
        </w:rPr>
      </w:pPr>
    </w:p>
    <w:p>
      <w:pPr>
        <w:spacing w:line="480" w:lineRule="auto"/>
        <w:ind w:left="898" w:leftChars="272" w:right="268" w:rightChars="122" w:hanging="300" w:hangingChars="100"/>
        <w:rPr>
          <w:rFonts w:hint="eastAsia" w:ascii="宋体" w:hAnsi="宋体" w:eastAsia="宋体" w:cs="宋体"/>
          <w:b/>
          <w:bCs w:val="0"/>
          <w:color w:val="auto"/>
          <w:sz w:val="32"/>
          <w:szCs w:val="32"/>
          <w:highlight w:val="none"/>
          <w:u w:val="single"/>
          <w:lang w:eastAsia="zh-CN"/>
        </w:rPr>
      </w:pPr>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single"/>
          <w:lang w:eastAsia="zh-CN"/>
        </w:rPr>
        <w:t>隆林各族自治县中医医院</w:t>
      </w:r>
      <w:r>
        <w:rPr>
          <w:rFonts w:hint="eastAsia" w:asciiTheme="majorEastAsia" w:hAnsiTheme="majorEastAsia" w:eastAsiaTheme="majorEastAsia" w:cstheme="majorEastAsia"/>
          <w:b/>
          <w:bCs/>
          <w:i w:val="0"/>
          <w:iCs w:val="0"/>
          <w:caps w:val="0"/>
          <w:color w:val="1F2329"/>
          <w:spacing w:val="0"/>
          <w:kern w:val="0"/>
          <w:sz w:val="32"/>
          <w:szCs w:val="32"/>
          <w:u w:val="single"/>
          <w:shd w:val="clear" w:color="auto" w:fill="auto"/>
          <w:lang w:val="en-US" w:eastAsia="zh-CN" w:bidi="ar"/>
        </w:rPr>
        <w:t>医院电动碳纤维骨科牵引手术床及自动胸外按压仪（心肺复苏机）</w:t>
      </w:r>
      <w:r>
        <w:rPr>
          <w:rFonts w:hint="eastAsia" w:ascii="宋体" w:hAnsi="宋体" w:eastAsia="宋体" w:cs="宋体"/>
          <w:b/>
          <w:color w:val="auto"/>
          <w:sz w:val="30"/>
          <w:szCs w:val="30"/>
          <w:highlight w:val="none"/>
          <w:u w:val="single"/>
          <w:lang w:eastAsia="zh-CN"/>
        </w:rPr>
        <w:t>采购项目（</w:t>
      </w:r>
      <w:r>
        <w:rPr>
          <w:rFonts w:hint="eastAsia" w:ascii="宋体" w:hAnsi="宋体" w:eastAsia="宋体" w:cs="宋体"/>
          <w:b/>
          <w:color w:val="auto"/>
          <w:sz w:val="30"/>
          <w:szCs w:val="30"/>
          <w:highlight w:val="none"/>
          <w:u w:val="single"/>
          <w:lang w:val="en-US" w:eastAsia="zh-CN"/>
        </w:rPr>
        <w:t>重</w:t>
      </w:r>
      <w:r>
        <w:rPr>
          <w:rFonts w:hint="eastAsia" w:ascii="宋体" w:hAnsi="宋体" w:eastAsia="宋体" w:cs="宋体"/>
          <w:b/>
          <w:color w:val="auto"/>
          <w:sz w:val="30"/>
          <w:szCs w:val="30"/>
          <w:highlight w:val="none"/>
          <w:u w:val="single"/>
          <w:lang w:eastAsia="zh-CN"/>
        </w:rPr>
        <w:t>）</w:t>
      </w:r>
      <w:r>
        <w:rPr>
          <w:rFonts w:hint="eastAsia" w:ascii="宋体" w:hAnsi="宋体" w:eastAsia="宋体" w:cs="宋体"/>
          <w:b/>
          <w:color w:val="auto"/>
          <w:sz w:val="30"/>
          <w:szCs w:val="30"/>
          <w:highlight w:val="none"/>
        </w:rPr>
        <w:t>项目编号：</w:t>
      </w:r>
      <w:r>
        <w:rPr>
          <w:rFonts w:hint="eastAsia" w:ascii="宋体" w:hAnsi="宋体" w:eastAsia="宋体" w:cs="宋体"/>
          <w:b/>
          <w:bCs w:val="0"/>
          <w:color w:val="auto"/>
          <w:sz w:val="32"/>
          <w:szCs w:val="32"/>
          <w:highlight w:val="none"/>
          <w:u w:val="single"/>
        </w:rPr>
        <w:t xml:space="preserve"> </w:t>
      </w:r>
      <w:r>
        <w:rPr>
          <w:rFonts w:hint="eastAsia" w:asciiTheme="minorEastAsia" w:hAnsiTheme="minorEastAsia" w:eastAsiaTheme="minorEastAsia" w:cstheme="minorEastAsia"/>
          <w:b/>
          <w:bCs w:val="0"/>
          <w:sz w:val="32"/>
          <w:szCs w:val="32"/>
          <w:u w:val="single"/>
        </w:rPr>
        <w:t>LLXZYYY202500</w:t>
      </w:r>
      <w:r>
        <w:rPr>
          <w:rFonts w:hint="eastAsia" w:asciiTheme="minorEastAsia" w:hAnsiTheme="minorEastAsia" w:eastAsiaTheme="minorEastAsia" w:cstheme="minorEastAsia"/>
          <w:b/>
          <w:bCs w:val="0"/>
          <w:sz w:val="32"/>
          <w:szCs w:val="32"/>
          <w:u w:val="single"/>
          <w:lang w:val="en-US" w:eastAsia="zh-CN"/>
        </w:rPr>
        <w:t>34</w:t>
      </w:r>
    </w:p>
    <w:p>
      <w:pPr>
        <w:spacing w:line="400" w:lineRule="exact"/>
        <w:rPr>
          <w:rFonts w:ascii="宋体" w:hAnsi="宋体" w:eastAsia="宋体" w:cs="宋体"/>
          <w:color w:val="auto"/>
          <w:sz w:val="32"/>
          <w:highlight w:val="none"/>
        </w:rPr>
      </w:pPr>
    </w:p>
    <w:p>
      <w:pPr>
        <w:pStyle w:val="8"/>
        <w:ind w:firstLine="0"/>
        <w:rPr>
          <w:rFonts w:ascii="宋体" w:hAnsi="宋体" w:eastAsia="宋体" w:cs="宋体"/>
          <w:color w:val="auto"/>
          <w:highlight w:val="none"/>
        </w:rPr>
      </w:pPr>
    </w:p>
    <w:p>
      <w:pPr>
        <w:pStyle w:val="8"/>
        <w:ind w:firstLine="0"/>
        <w:rPr>
          <w:rFonts w:ascii="宋体" w:hAnsi="宋体" w:eastAsia="宋体" w:cs="宋体"/>
          <w:color w:val="auto"/>
          <w:highlight w:val="none"/>
        </w:rPr>
      </w:pPr>
    </w:p>
    <w:p>
      <w:pPr>
        <w:jc w:val="center"/>
        <w:rPr>
          <w:rFonts w:ascii="宋体" w:hAnsi="宋体" w:eastAsia="宋体" w:cs="宋体"/>
          <w:color w:val="auto"/>
          <w:sz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158750</wp:posOffset>
                </wp:positionV>
                <wp:extent cx="5896610" cy="3175"/>
                <wp:effectExtent l="0" t="13970" r="1270" b="28575"/>
                <wp:wrapNone/>
                <wp:docPr id="1" name="直线 3"/>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12.5pt;height:0.25pt;width:464.3pt;z-index:251660288;mso-width-relative:page;mso-height-relative:page;" filled="f" stroked="t" coordsize="21600,21600" o:gfxdata="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NS4i1wAA&#10;AAkBAAAPAAAAAAAAAAEAIAAAACIAAABkcnMvZG93bnJldi54bWxQSwECFAAUAAAACACHTuJAtyKt&#10;S+YBAADhAwAADgAAAAAAAAABACAAAAAmAQAAZHJzL2Uyb0RvYy54bWxQSwUGAAAAAAYABgBZAQAA&#10;fgUAAAAA&#10;">
                <v:fill on="f" focussize="0,0"/>
                <v:stroke weight="2.25pt" color="#000000" joinstyle="round"/>
                <v:imagedata o:title=""/>
                <o:lock v:ext="edit" aspectratio="f"/>
              </v:line>
            </w:pict>
          </mc:Fallback>
        </mc:AlternateContent>
      </w:r>
    </w:p>
    <w:p>
      <w:pPr>
        <w:ind w:firstLine="1600" w:firstLineChars="5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 xml:space="preserve">采购单位： </w:t>
      </w:r>
      <w:r>
        <w:rPr>
          <w:rFonts w:hint="eastAsia" w:ascii="宋体" w:hAnsi="宋体" w:eastAsia="宋体" w:cs="宋体"/>
          <w:b/>
          <w:color w:val="auto"/>
          <w:sz w:val="32"/>
          <w:highlight w:val="none"/>
          <w:lang w:eastAsia="zh-CN"/>
        </w:rPr>
        <w:t>隆林各族自治县中医医院</w:t>
      </w:r>
    </w:p>
    <w:p>
      <w:pPr>
        <w:spacing w:line="600" w:lineRule="exact"/>
        <w:ind w:firstLine="3520" w:firstLineChars="1100"/>
        <w:rPr>
          <w:rFonts w:ascii="宋体" w:hAnsi="宋体" w:eastAsia="宋体" w:cs="宋体"/>
          <w:b/>
          <w:color w:val="auto"/>
          <w:sz w:val="32"/>
          <w:highlight w:val="none"/>
        </w:rPr>
      </w:pP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11</w:t>
      </w:r>
      <w:r>
        <w:rPr>
          <w:rFonts w:hint="eastAsia" w:ascii="宋体" w:hAnsi="宋体" w:eastAsia="宋体" w:cs="宋体"/>
          <w:b/>
          <w:color w:val="auto"/>
          <w:sz w:val="32"/>
          <w:highlight w:val="none"/>
        </w:rPr>
        <w:t>月</w:t>
      </w:r>
    </w:p>
    <w:p>
      <w:pPr>
        <w:spacing w:line="600" w:lineRule="exact"/>
        <w:ind w:firstLine="3040"/>
        <w:rPr>
          <w:rFonts w:ascii="宋体" w:hAnsi="宋体" w:eastAsia="宋体" w:cs="宋体"/>
          <w:color w:val="auto"/>
          <w:highlight w:val="none"/>
        </w:rPr>
        <w:sectPr>
          <w:headerReference r:id="rId6" w:type="first"/>
          <w:headerReference r:id="rId4" w:type="default"/>
          <w:footerReference r:id="rId7" w:type="default"/>
          <w:headerReference r:id="rId5" w:type="even"/>
          <w:footerReference r:id="rId8" w:type="even"/>
          <w:pgSz w:w="11906" w:h="16838"/>
          <w:pgMar w:top="1418" w:right="1418" w:bottom="1418" w:left="1418" w:header="851" w:footer="992" w:gutter="0"/>
          <w:pgNumType w:start="1"/>
          <w:cols w:space="720" w:num="1"/>
          <w:titlePg/>
          <w:docGrid w:type="linesAndChars" w:linePitch="312" w:charSpace="0"/>
        </w:sectPr>
      </w:pPr>
    </w:p>
    <w:p>
      <w:pPr>
        <w:jc w:val="center"/>
        <w:rPr>
          <w:rFonts w:ascii="宋体" w:hAnsi="宋体" w:eastAsia="宋体" w:cs="宋体"/>
          <w:b/>
          <w:bCs/>
          <w:color w:val="auto"/>
          <w:sz w:val="32"/>
          <w:szCs w:val="32"/>
          <w:highlight w:val="none"/>
        </w:rPr>
      </w:pP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outlineLvl w:val="0"/>
        <w:rPr>
          <w:rFonts w:ascii="宋体" w:hAnsi="宋体"/>
          <w:b/>
          <w:color w:val="auto"/>
          <w:sz w:val="44"/>
          <w:szCs w:val="44"/>
          <w:highlight w:val="none"/>
        </w:rPr>
      </w:pPr>
    </w:p>
    <w:p>
      <w:pPr>
        <w:pStyle w:val="16"/>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"_Toc35611510" </w:instrText>
      </w:r>
      <w:r>
        <w:rPr>
          <w:color w:val="auto"/>
          <w:highlight w:val="none"/>
        </w:rPr>
        <w:fldChar w:fldCharType="separate"/>
      </w:r>
      <w:r>
        <w:rPr>
          <w:rStyle w:val="24"/>
          <w:rFonts w:hint="eastAsia"/>
          <w:color w:val="auto"/>
          <w:sz w:val="28"/>
          <w:szCs w:val="28"/>
          <w:highlight w:val="none"/>
        </w:rPr>
        <w:t>第一章</w:t>
      </w:r>
      <w:r>
        <w:rPr>
          <w:rStyle w:val="24"/>
          <w:color w:val="auto"/>
          <w:sz w:val="28"/>
          <w:szCs w:val="28"/>
          <w:highlight w:val="none"/>
        </w:rPr>
        <w:t xml:space="preserve"> </w:t>
      </w:r>
      <w:r>
        <w:rPr>
          <w:rStyle w:val="24"/>
          <w:rFonts w:hint="eastAsia"/>
          <w:color w:val="auto"/>
          <w:sz w:val="28"/>
          <w:szCs w:val="28"/>
          <w:highlight w:val="none"/>
        </w:rPr>
        <w:t>竞争性谈判公告</w:t>
      </w:r>
      <w:r>
        <w:rPr>
          <w:rFonts w:hint="eastAsia"/>
          <w:color w:val="auto"/>
          <w:sz w:val="28"/>
          <w:szCs w:val="28"/>
          <w:highlight w:val="none"/>
          <w:lang w:val="en-US" w:eastAsia="zh-CN"/>
        </w:rPr>
        <w:t>.</w:t>
      </w:r>
      <w:r>
        <w:rPr>
          <w:color w:val="auto"/>
          <w:sz w:val="28"/>
          <w:szCs w:val="28"/>
          <w:highlight w:val="none"/>
        </w:rPr>
        <w:fldChar w:fldCharType="end"/>
      </w:r>
      <w:r>
        <w:rPr>
          <w:rFonts w:hint="eastAsia"/>
          <w:color w:val="auto"/>
          <w:sz w:val="28"/>
          <w:szCs w:val="28"/>
          <w:highlight w:val="none"/>
          <w:lang w:val="en-US" w:eastAsia="zh-CN"/>
        </w:rPr>
        <w:t>..........................................................1</w:t>
      </w:r>
    </w:p>
    <w:p>
      <w:pPr>
        <w:pStyle w:val="16"/>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"_Toc35611511" </w:instrText>
      </w:r>
      <w:r>
        <w:rPr>
          <w:color w:val="auto"/>
          <w:highlight w:val="none"/>
        </w:rPr>
        <w:fldChar w:fldCharType="separate"/>
      </w:r>
      <w:r>
        <w:rPr>
          <w:rStyle w:val="24"/>
          <w:rFonts w:hint="eastAsia"/>
          <w:color w:val="auto"/>
          <w:sz w:val="28"/>
          <w:szCs w:val="28"/>
          <w:highlight w:val="none"/>
        </w:rPr>
        <w:t>第二章</w:t>
      </w:r>
      <w:r>
        <w:rPr>
          <w:rStyle w:val="24"/>
          <w:color w:val="auto"/>
          <w:sz w:val="28"/>
          <w:szCs w:val="28"/>
          <w:highlight w:val="none"/>
        </w:rPr>
        <w:t xml:space="preserve"> </w:t>
      </w:r>
      <w:r>
        <w:rPr>
          <w:rStyle w:val="24"/>
          <w:rFonts w:hint="eastAsia"/>
          <w:color w:val="auto"/>
          <w:sz w:val="28"/>
          <w:szCs w:val="28"/>
          <w:highlight w:val="none"/>
        </w:rPr>
        <w:t>供应商须知及前附表</w:t>
      </w:r>
      <w:r>
        <w:rPr>
          <w:rFonts w:hint="eastAsia"/>
          <w:color w:val="auto"/>
          <w:sz w:val="28"/>
          <w:szCs w:val="28"/>
          <w:highlight w:val="none"/>
          <w:lang w:val="en-US" w:eastAsia="zh-CN"/>
        </w:rPr>
        <w:t>....................................................4</w:t>
      </w:r>
      <w:r>
        <w:rPr>
          <w:rFonts w:hint="eastAsia"/>
          <w:color w:val="auto"/>
          <w:sz w:val="28"/>
          <w:szCs w:val="28"/>
          <w:highlight w:val="none"/>
        </w:rPr>
        <w:fldChar w:fldCharType="end"/>
      </w:r>
    </w:p>
    <w:p>
      <w:pPr>
        <w:pStyle w:val="16"/>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"_Toc35611512" </w:instrText>
      </w:r>
      <w:r>
        <w:rPr>
          <w:color w:val="auto"/>
          <w:highlight w:val="none"/>
        </w:rPr>
        <w:fldChar w:fldCharType="separate"/>
      </w:r>
      <w:r>
        <w:rPr>
          <w:rStyle w:val="24"/>
          <w:rFonts w:hint="eastAsia"/>
          <w:color w:val="auto"/>
          <w:sz w:val="28"/>
          <w:szCs w:val="28"/>
          <w:highlight w:val="none"/>
        </w:rPr>
        <w:t>第三章</w:t>
      </w:r>
      <w:r>
        <w:rPr>
          <w:rStyle w:val="24"/>
          <w:color w:val="auto"/>
          <w:sz w:val="28"/>
          <w:szCs w:val="28"/>
          <w:highlight w:val="none"/>
        </w:rPr>
        <w:t xml:space="preserve"> </w:t>
      </w:r>
      <w:r>
        <w:rPr>
          <w:rStyle w:val="24"/>
          <w:rFonts w:hint="eastAsia"/>
          <w:color w:val="auto"/>
          <w:sz w:val="28"/>
          <w:szCs w:val="28"/>
          <w:highlight w:val="none"/>
        </w:rPr>
        <w:t>货物需求一览表</w:t>
      </w:r>
      <w:r>
        <w:rPr>
          <w:rFonts w:hint="eastAsia"/>
          <w:color w:val="auto"/>
          <w:sz w:val="28"/>
          <w:szCs w:val="28"/>
          <w:highlight w:val="none"/>
          <w:lang w:val="en-US" w:eastAsia="zh-CN"/>
        </w:rPr>
        <w:t>...........................................................</w:t>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2</w:t>
      </w:r>
    </w:p>
    <w:p>
      <w:pPr>
        <w:pStyle w:val="16"/>
        <w:tabs>
          <w:tab w:val="right" w:leader="dot" w:pos="9040"/>
          <w:tab w:val="clear" w:pos="8296"/>
        </w:tabs>
        <w:spacing w:line="360" w:lineRule="auto"/>
        <w:ind w:left="440"/>
        <w:outlineLvl w:val="0"/>
        <w:rPr>
          <w:rFonts w:hint="default" w:ascii="Calibri" w:hAnsi="Calibri"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"_Toc35611513" </w:instrText>
      </w:r>
      <w:r>
        <w:rPr>
          <w:color w:val="auto"/>
          <w:highlight w:val="none"/>
        </w:rPr>
        <w:fldChar w:fldCharType="separate"/>
      </w:r>
      <w:r>
        <w:rPr>
          <w:rStyle w:val="24"/>
          <w:rFonts w:hint="eastAsia"/>
          <w:color w:val="auto"/>
          <w:sz w:val="28"/>
          <w:szCs w:val="28"/>
          <w:highlight w:val="none"/>
        </w:rPr>
        <w:t>第四章</w:t>
      </w:r>
      <w:r>
        <w:rPr>
          <w:rStyle w:val="24"/>
          <w:color w:val="auto"/>
          <w:sz w:val="28"/>
          <w:szCs w:val="28"/>
          <w:highlight w:val="none"/>
        </w:rPr>
        <w:t xml:space="preserve"> </w:t>
      </w:r>
      <w:r>
        <w:rPr>
          <w:rStyle w:val="24"/>
          <w:rFonts w:hint="eastAsia"/>
          <w:color w:val="auto"/>
          <w:sz w:val="28"/>
          <w:szCs w:val="28"/>
          <w:highlight w:val="none"/>
        </w:rPr>
        <w:t>合同协议书</w:t>
      </w:r>
      <w:r>
        <w:rPr>
          <w:rFonts w:hint="eastAsia"/>
          <w:color w:val="auto"/>
          <w:sz w:val="28"/>
          <w:szCs w:val="28"/>
          <w:highlight w:val="none"/>
          <w:lang w:val="en-US" w:eastAsia="zh-CN"/>
        </w:rPr>
        <w:t>.................................................................</w:t>
      </w:r>
      <w:r>
        <w:rPr>
          <w:rFonts w:hint="eastAsia"/>
          <w:color w:val="auto"/>
          <w:sz w:val="28"/>
          <w:szCs w:val="28"/>
          <w:highlight w:val="none"/>
        </w:rPr>
        <w:fldChar w:fldCharType="end"/>
      </w:r>
      <w:r>
        <w:rPr>
          <w:rFonts w:hint="eastAsia"/>
          <w:color w:val="auto"/>
          <w:sz w:val="28"/>
          <w:szCs w:val="28"/>
          <w:highlight w:val="none"/>
          <w:lang w:val="en-US" w:eastAsia="zh-CN"/>
        </w:rPr>
        <w:t>34</w:t>
      </w:r>
    </w:p>
    <w:p>
      <w:pPr>
        <w:pStyle w:val="16"/>
        <w:tabs>
          <w:tab w:val="right" w:leader="dot" w:pos="9040"/>
          <w:tab w:val="clear" w:pos="8296"/>
        </w:tabs>
        <w:spacing w:line="360" w:lineRule="auto"/>
        <w:ind w:left="440"/>
        <w:outlineLvl w:val="0"/>
        <w:rPr>
          <w:rFonts w:hint="default"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Style w:val="24"/>
          <w:rFonts w:hint="eastAsia"/>
          <w:color w:val="auto"/>
          <w:sz w:val="28"/>
          <w:szCs w:val="28"/>
          <w:highlight w:val="none"/>
        </w:rPr>
        <w:t>第五章</w:t>
      </w:r>
      <w:r>
        <w:rPr>
          <w:rStyle w:val="24"/>
          <w:color w:val="auto"/>
          <w:sz w:val="28"/>
          <w:szCs w:val="28"/>
          <w:highlight w:val="none"/>
        </w:rPr>
        <w:t xml:space="preserve"> </w:t>
      </w:r>
      <w:r>
        <w:rPr>
          <w:rStyle w:val="24"/>
          <w:rFonts w:hint="eastAsia"/>
          <w:color w:val="auto"/>
          <w:sz w:val="28"/>
          <w:szCs w:val="28"/>
          <w:highlight w:val="none"/>
        </w:rPr>
        <w:t>响应文件格式</w:t>
      </w:r>
      <w:r>
        <w:rPr>
          <w:rStyle w:val="24"/>
          <w:rFonts w:hint="eastAsia"/>
          <w:color w:val="auto"/>
          <w:sz w:val="28"/>
          <w:szCs w:val="28"/>
          <w:highlight w:val="none"/>
          <w:lang w:val="en-US" w:eastAsia="zh-CN"/>
        </w:rPr>
        <w:t>.............................................................................</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9</w:t>
      </w:r>
    </w:p>
    <w:p>
      <w:pPr>
        <w:ind w:firstLine="440" w:firstLineChars="200"/>
        <w:rPr>
          <w:rFonts w:hint="eastAsia"/>
          <w:color w:val="auto"/>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Fonts w:hint="eastAsia"/>
          <w:color w:val="auto"/>
          <w:sz w:val="24"/>
          <w:szCs w:val="24"/>
          <w:highlight w:val="none"/>
        </w:rPr>
        <w:fldChar w:fldCharType="begin"/>
      </w:r>
      <w:r>
        <w:rPr>
          <w:rFonts w:hint="eastAsia"/>
          <w:color w:val="auto"/>
          <w:sz w:val="24"/>
          <w:szCs w:val="24"/>
          <w:highlight w:val="none"/>
        </w:rPr>
        <w:instrText xml:space="preserve"> HYPERLINK \l "bookmark19" </w:instrText>
      </w:r>
      <w:r>
        <w:rPr>
          <w:rFonts w:hint="eastAsia"/>
          <w:color w:val="auto"/>
          <w:sz w:val="24"/>
          <w:szCs w:val="24"/>
          <w:highlight w:val="none"/>
        </w:rPr>
        <w:fldChar w:fldCharType="separate"/>
      </w:r>
      <w:r>
        <w:rPr>
          <w:rStyle w:val="24"/>
          <w:rFonts w:hint="eastAsia"/>
          <w:color w:val="auto"/>
          <w:sz w:val="28"/>
          <w:szCs w:val="28"/>
          <w:highlight w:val="none"/>
          <w:lang w:val="en-US" w:eastAsia="zh-CN" w:bidi="ar-SA"/>
        </w:rPr>
        <w:t>第六章 评定成交的标准</w:t>
      </w:r>
      <w:r>
        <w:rPr>
          <w:rFonts w:hint="eastAsia" w:hAnsi="Times New Roman"/>
          <w:color w:val="auto"/>
          <w:sz w:val="24"/>
          <w:szCs w:val="24"/>
          <w:highlight w:val="none"/>
          <w:lang w:val="en-US" w:eastAsia="zh-CN"/>
        </w:rPr>
        <w:fldChar w:fldCharType="end"/>
      </w:r>
      <w:r>
        <w:rPr>
          <w:rFonts w:hint="eastAsia" w:hAnsi="Times New Roman"/>
          <w:color w:val="auto"/>
          <w:sz w:val="28"/>
          <w:szCs w:val="28"/>
          <w:highlight w:val="none"/>
          <w:lang w:val="en-US" w:eastAsia="zh-CN"/>
        </w:rPr>
        <w:t>..........................................................57</w:t>
      </w:r>
      <w:r>
        <w:rPr>
          <w:color w:val="auto"/>
          <w:sz w:val="28"/>
          <w:szCs w:val="28"/>
          <w:highlight w:val="none"/>
        </w:rPr>
        <w:tab/>
      </w:r>
      <w:r>
        <w:rPr>
          <w:rFonts w:hint="eastAsia"/>
          <w:color w:val="auto"/>
          <w:sz w:val="28"/>
          <w:szCs w:val="28"/>
          <w:highlight w:val="none"/>
        </w:rPr>
        <w:fldChar w:fldCharType="end"/>
      </w:r>
    </w:p>
    <w:p>
      <w:pPr>
        <w:rPr>
          <w:rFonts w:hint="eastAsia"/>
          <w:color w:val="auto"/>
          <w:highlight w:val="none"/>
          <w:lang w:eastAsia="zh-CN"/>
        </w:rPr>
      </w:pPr>
    </w:p>
    <w:p>
      <w:pPr>
        <w:rPr>
          <w:rFonts w:ascii="宋体" w:hAnsi="宋体" w:eastAsia="宋体" w:cs="宋体"/>
          <w:color w:val="auto"/>
          <w:highlight w:val="none"/>
        </w:rPr>
      </w:pPr>
      <w:r>
        <w:rPr>
          <w:color w:val="auto"/>
          <w:sz w:val="28"/>
          <w:szCs w:val="28"/>
          <w:highlight w:val="none"/>
        </w:rPr>
        <w:fldChar w:fldCharType="end"/>
      </w:r>
    </w:p>
    <w:p>
      <w:pPr>
        <w:tabs>
          <w:tab w:val="left" w:pos="9214"/>
        </w:tabs>
        <w:ind w:right="423"/>
        <w:jc w:val="both"/>
        <w:rPr>
          <w:rFonts w:ascii="宋体" w:hAnsi="宋体" w:eastAsia="宋体" w:cs="宋体"/>
          <w:b/>
          <w:color w:val="auto"/>
          <w:sz w:val="28"/>
          <w:highlight w:val="none"/>
        </w:rPr>
      </w:pPr>
    </w:p>
    <w:p>
      <w:pPr>
        <w:tabs>
          <w:tab w:val="left" w:pos="9214"/>
        </w:tabs>
        <w:ind w:right="423"/>
        <w:jc w:val="center"/>
        <w:rPr>
          <w:rFonts w:hint="eastAsia" w:ascii="宋体" w:hAnsi="宋体" w:eastAsia="宋体" w:cs="宋体"/>
          <w:b/>
          <w:color w:val="auto"/>
          <w:sz w:val="28"/>
          <w:highlight w:val="none"/>
        </w:rPr>
        <w:sectPr>
          <w:pgSz w:w="11910" w:h="16840"/>
          <w:pgMar w:top="1520" w:right="1500" w:bottom="280" w:left="1680" w:header="720" w:footer="720" w:gutter="0"/>
          <w:cols w:space="720" w:num="1"/>
        </w:sectPr>
      </w:pPr>
    </w:p>
    <w:p>
      <w:pPr>
        <w:tabs>
          <w:tab w:val="left" w:pos="9214"/>
        </w:tabs>
        <w:ind w:right="423"/>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第一章 竞争性谈判公告</w:t>
      </w:r>
    </w:p>
    <w:p>
      <w:pPr>
        <w:spacing w:after="80" w:line="460" w:lineRule="exact"/>
        <w:jc w:val="center"/>
        <w:rPr>
          <w:rFonts w:hint="eastAsia" w:ascii="宋体" w:hAnsi="宋体" w:eastAsia="宋体" w:cs="宋体"/>
          <w:b/>
          <w:color w:val="auto"/>
          <w:sz w:val="24"/>
          <w:szCs w:val="24"/>
          <w:highlight w:val="none"/>
          <w:lang w:eastAsia="zh-CN"/>
        </w:rPr>
      </w:pPr>
      <w:bookmarkStart w:id="0" w:name="OLE_LINK2"/>
      <w:r>
        <w:rPr>
          <w:rFonts w:hint="eastAsia" w:ascii="宋体" w:hAnsi="宋体" w:eastAsia="宋体" w:cs="宋体"/>
          <w:b/>
          <w:color w:val="auto"/>
          <w:sz w:val="24"/>
          <w:szCs w:val="24"/>
          <w:highlight w:val="none"/>
          <w:lang w:eastAsia="zh-CN"/>
        </w:rPr>
        <w:t>关于隆林各族自治县中医医院</w:t>
      </w:r>
      <w:r>
        <w:rPr>
          <w:rFonts w:hint="eastAsia" w:asciiTheme="minorEastAsia" w:hAnsiTheme="minorEastAsia" w:eastAsiaTheme="minorEastAsia" w:cstheme="minorEastAsia"/>
          <w:b/>
          <w:bCs/>
          <w:i w:val="0"/>
          <w:iCs w:val="0"/>
          <w:caps w:val="0"/>
          <w:color w:val="1F2329"/>
          <w:spacing w:val="0"/>
          <w:kern w:val="0"/>
          <w:sz w:val="24"/>
          <w:szCs w:val="24"/>
          <w:u w:val="none"/>
          <w:shd w:val="clear" w:color="auto" w:fill="auto"/>
          <w:lang w:val="en-US" w:eastAsia="zh-CN" w:bidi="ar"/>
        </w:rPr>
        <w:t>电动碳纤维骨科牵引手术床及自动胸外按压仪（心肺复苏机）</w:t>
      </w:r>
      <w:r>
        <w:rPr>
          <w:rFonts w:hint="eastAsia" w:ascii="宋体" w:hAnsi="宋体" w:eastAsia="宋体" w:cs="宋体"/>
          <w:b/>
          <w:color w:val="auto"/>
          <w:sz w:val="24"/>
          <w:szCs w:val="24"/>
          <w:highlight w:val="none"/>
          <w:lang w:eastAsia="zh-CN"/>
        </w:rPr>
        <w:t>采购项目（</w:t>
      </w:r>
      <w:r>
        <w:rPr>
          <w:rFonts w:hint="eastAsia" w:asciiTheme="minorEastAsia" w:hAnsiTheme="minorEastAsia" w:eastAsiaTheme="minorEastAsia" w:cstheme="minorEastAsia"/>
          <w:b/>
          <w:bCs w:val="0"/>
          <w:color w:val="auto"/>
          <w:sz w:val="24"/>
          <w:szCs w:val="24"/>
          <w:highlight w:val="none"/>
          <w:u w:val="none"/>
        </w:rPr>
        <w:t xml:space="preserve"> </w:t>
      </w:r>
      <w:r>
        <w:rPr>
          <w:rFonts w:hint="eastAsia" w:asciiTheme="minorEastAsia" w:hAnsiTheme="minorEastAsia" w:eastAsiaTheme="minorEastAsia" w:cstheme="minorEastAsia"/>
          <w:b/>
          <w:bCs w:val="0"/>
          <w:sz w:val="24"/>
          <w:szCs w:val="24"/>
          <w:u w:val="none"/>
        </w:rPr>
        <w:t>LLXZYYY202500</w:t>
      </w:r>
      <w:r>
        <w:rPr>
          <w:rFonts w:hint="eastAsia" w:asciiTheme="minorEastAsia" w:hAnsiTheme="minorEastAsia" w:eastAsiaTheme="minorEastAsia" w:cstheme="minorEastAsia"/>
          <w:b/>
          <w:bCs w:val="0"/>
          <w:sz w:val="24"/>
          <w:szCs w:val="24"/>
          <w:u w:val="none"/>
          <w:lang w:val="en-US" w:eastAsia="zh-CN"/>
        </w:rPr>
        <w:t>34</w:t>
      </w:r>
      <w:r>
        <w:rPr>
          <w:rFonts w:hint="eastAsia" w:ascii="宋体" w:hAnsi="宋体" w:eastAsia="宋体" w:cs="宋体"/>
          <w:b/>
          <w:color w:val="auto"/>
          <w:sz w:val="24"/>
          <w:szCs w:val="24"/>
          <w:highlight w:val="none"/>
          <w:lang w:eastAsia="zh-CN"/>
        </w:rPr>
        <w:t>）的竞争性谈判公告（</w:t>
      </w:r>
      <w:r>
        <w:rPr>
          <w:rFonts w:hint="eastAsia" w:ascii="宋体" w:hAnsi="宋体" w:eastAsia="宋体" w:cs="宋体"/>
          <w:b/>
          <w:color w:val="auto"/>
          <w:sz w:val="24"/>
          <w:szCs w:val="24"/>
          <w:highlight w:val="none"/>
          <w:lang w:val="en-US" w:eastAsia="zh-CN"/>
        </w:rPr>
        <w:t>重</w:t>
      </w:r>
      <w:r>
        <w:rPr>
          <w:rFonts w:hint="eastAsia" w:ascii="宋体" w:hAnsi="宋体" w:eastAsia="宋体" w:cs="宋体"/>
          <w:b/>
          <w:color w:val="auto"/>
          <w:sz w:val="24"/>
          <w:szCs w:val="24"/>
          <w:highlight w:val="none"/>
          <w:lang w:eastAsia="zh-CN"/>
        </w:rPr>
        <w:t>）</w:t>
      </w:r>
    </w:p>
    <w:p>
      <w:pPr>
        <w:widowControl w:val="0"/>
        <w:pBdr>
          <w:top w:val="single" w:color="auto" w:sz="4" w:space="1"/>
          <w:left w:val="single" w:color="auto" w:sz="4" w:space="4"/>
          <w:bottom w:val="single" w:color="auto" w:sz="4" w:space="1"/>
          <w:right w:val="single" w:color="auto" w:sz="4" w:space="4"/>
        </w:pBdr>
        <w:tabs>
          <w:tab w:val="left" w:pos="474"/>
        </w:tabs>
        <w:adjustRightInd/>
        <w:snapToGrid/>
        <w:spacing w:after="80" w:line="440" w:lineRule="exact"/>
        <w:rPr>
          <w:rFonts w:ascii="宋体" w:hAnsi="宋体" w:eastAsia="宋体" w:cs="宋体"/>
          <w:b/>
          <w:bCs/>
          <w:color w:val="auto"/>
          <w:sz w:val="24"/>
          <w:szCs w:val="24"/>
          <w:highlight w:val="none"/>
        </w:rPr>
      </w:pPr>
      <w:bookmarkStart w:id="1" w:name="OLE_LINK3"/>
      <w:r>
        <w:rPr>
          <w:rFonts w:hint="eastAsia" w:ascii="宋体" w:hAnsi="宋体" w:eastAsia="宋体" w:cs="宋体"/>
          <w:b/>
          <w:bCs/>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adjustRightInd/>
        <w:snapToGrid/>
        <w:spacing w:after="80"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隆林各族自治县中医医院</w:t>
      </w:r>
      <w:r>
        <w:rPr>
          <w:rFonts w:hint="eastAsia" w:asciiTheme="minorEastAsia" w:hAnsiTheme="minorEastAsia" w:eastAsiaTheme="minorEastAsia" w:cstheme="minorEastAsia"/>
          <w:b w:val="0"/>
          <w:bCs w:val="0"/>
          <w:i w:val="0"/>
          <w:iCs w:val="0"/>
          <w:caps w:val="0"/>
          <w:color w:val="1F2329"/>
          <w:spacing w:val="0"/>
          <w:kern w:val="0"/>
          <w:sz w:val="24"/>
          <w:szCs w:val="24"/>
          <w:u w:val="single"/>
          <w:shd w:val="clear" w:color="auto" w:fill="auto"/>
          <w:lang w:val="en-US" w:eastAsia="zh-CN" w:bidi="ar"/>
        </w:rPr>
        <w:t>电动碳纤维骨科牵引手术床及自动胸外按压仪（心肺复苏机）</w:t>
      </w:r>
      <w:r>
        <w:rPr>
          <w:rFonts w:hint="eastAsia" w:ascii="宋体" w:hAnsi="宋体" w:eastAsia="宋体" w:cs="宋体"/>
          <w:color w:val="auto"/>
          <w:sz w:val="24"/>
          <w:szCs w:val="24"/>
          <w:highlight w:val="none"/>
          <w:u w:val="single"/>
          <w:lang w:eastAsia="zh-CN"/>
        </w:rPr>
        <w:t>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公告下方自行获取</w:t>
      </w:r>
      <w:r>
        <w:rPr>
          <w:rFonts w:hint="eastAsia" w:ascii="宋体" w:hAnsi="宋体" w:eastAsia="宋体" w:cs="宋体"/>
          <w:color w:val="auto"/>
          <w:sz w:val="24"/>
          <w:szCs w:val="24"/>
          <w:highlight w:val="none"/>
        </w:rPr>
        <w:t>竞争性</w:t>
      </w:r>
      <w:r>
        <w:rPr>
          <w:rFonts w:hint="eastAsia" w:ascii="宋体" w:hAnsi="宋体" w:eastAsia="宋体" w:cs="宋体"/>
          <w:color w:val="auto"/>
          <w:spacing w:val="-8"/>
          <w:sz w:val="24"/>
          <w:szCs w:val="24"/>
          <w:highlight w:val="none"/>
        </w:rPr>
        <w:t>谈判文件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none"/>
          <w:lang w:eastAsia="zh-CN"/>
        </w:rPr>
        <w:t>2025年</w:t>
      </w:r>
      <w:r>
        <w:rPr>
          <w:rFonts w:hint="eastAsia" w:ascii="宋体" w:hAnsi="宋体" w:eastAsia="宋体" w:cs="宋体"/>
          <w:color w:val="auto"/>
          <w:sz w:val="24"/>
          <w:szCs w:val="24"/>
          <w:highlight w:val="none"/>
          <w:u w:val="none"/>
          <w:lang w:val="en-US" w:eastAsia="zh-CN"/>
        </w:rPr>
        <w:t xml:space="preserve">11 </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 xml:space="preserve"> 13 </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val="en-US" w:eastAsia="zh-CN"/>
        </w:rPr>
        <w:t>18</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eastAsia="zh-CN"/>
        </w:rPr>
        <w:t>分</w:t>
      </w:r>
      <w:r>
        <w:rPr>
          <w:rFonts w:hint="eastAsia" w:ascii="宋体" w:hAnsi="宋体" w:eastAsia="宋体" w:cs="宋体"/>
          <w:color w:val="auto"/>
          <w:sz w:val="24"/>
          <w:szCs w:val="24"/>
          <w:highlight w:val="none"/>
        </w:rPr>
        <w:t>（北京时间）前</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隆林各族自治县中医</w:t>
      </w:r>
      <w:r>
        <w:rPr>
          <w:rFonts w:hint="eastAsia" w:ascii="宋体" w:hAnsi="宋体" w:eastAsia="宋体" w:cs="宋体"/>
          <w:color w:val="auto"/>
          <w:sz w:val="24"/>
          <w:szCs w:val="24"/>
          <w:highlight w:val="none"/>
          <w:u w:val="none"/>
          <w:lang w:eastAsia="zh-CN"/>
        </w:rPr>
        <w:t>医</w:t>
      </w:r>
      <w:r>
        <w:rPr>
          <w:rFonts w:hint="eastAsia" w:ascii="宋体" w:hAnsi="宋体" w:eastAsia="宋体" w:cs="宋体"/>
          <w:color w:val="auto"/>
          <w:sz w:val="24"/>
          <w:szCs w:val="24"/>
          <w:highlight w:val="none"/>
          <w:u w:val="none"/>
          <w:lang w:val="en-US" w:eastAsia="zh-CN"/>
        </w:rPr>
        <w:t>院</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lang w:val="en-US" w:eastAsia="zh-CN"/>
        </w:rPr>
        <w:t>重</w:t>
      </w:r>
      <w:r>
        <w:rPr>
          <w:rFonts w:hint="eastAsia" w:ascii="宋体" w:hAnsi="宋体" w:eastAsia="宋体" w:cs="宋体"/>
          <w:color w:val="auto"/>
          <w:sz w:val="24"/>
          <w:szCs w:val="24"/>
          <w:highlight w:val="none"/>
          <w:lang w:eastAsia="zh-CN"/>
        </w:rPr>
        <w:t>）</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LLXZYYY20250034</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采购方式：竞争性谈判 </w:t>
      </w:r>
      <w:bookmarkStart w:id="142" w:name="_GoBack"/>
      <w:bookmarkEnd w:id="142"/>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最高限价：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pP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eastAsia="zh-CN"/>
        </w:rPr>
        <w:t>分</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标1：</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电动碳纤维骨科牵引手术床：</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最高限价25</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万元（大写：</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贰拾伍万元整</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 xml:space="preserve">  分标2</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eastAsia="zh-CN"/>
        </w:rPr>
        <w:t>：</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自动胸外按压仪：</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最高限价15</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万元（大写：</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壹拾伍万元整</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rPr>
        <w:t>）​</w:t>
      </w:r>
      <w:r>
        <w:rPr>
          <w:rFonts w:hint="eastAsia" w:asciiTheme="minorEastAsia" w:hAnsiTheme="minorEastAsia" w:eastAsiaTheme="minorEastAsia" w:cstheme="minorEastAsia"/>
          <w:b w:val="0"/>
          <w:bCs w:val="0"/>
          <w:i w:val="0"/>
          <w:iCs w:val="0"/>
          <w:caps w:val="0"/>
          <w:color w:val="1F2329"/>
          <w:spacing w:val="0"/>
          <w:sz w:val="24"/>
          <w:szCs w:val="24"/>
          <w:shd w:val="clear" w:color="auto" w:fill="auto"/>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Theme="minorEastAsia" w:hAnsiTheme="minorEastAsia" w:eastAsiaTheme="minorEastAsia" w:cstheme="minorEastAsia"/>
          <w:b w:val="0"/>
          <w:bCs w:val="0"/>
          <w:i w:val="0"/>
          <w:iCs w:val="0"/>
          <w:caps w:val="0"/>
          <w:color w:val="1F2329"/>
          <w:spacing w:val="0"/>
          <w:sz w:val="24"/>
          <w:szCs w:val="24"/>
          <w:shd w:val="clear" w:color="auto" w:fill="auto"/>
        </w:rPr>
      </w:pP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特别提醒：潜在供应商可选择其中标段报价，也可以两个包段都报价，但响应文件分开装订；</w:t>
      </w:r>
      <w:r>
        <w:rPr>
          <w:rFonts w:hint="eastAsia" w:asciiTheme="minorEastAsia" w:hAnsiTheme="minorEastAsia" w:eastAsiaTheme="minorEastAsia" w:cstheme="minorEastAsia"/>
          <w:b/>
          <w:bCs/>
          <w:i w:val="0"/>
          <w:iCs w:val="0"/>
          <w:caps w:val="0"/>
          <w:color w:val="1F2329"/>
          <w:spacing w:val="0"/>
          <w:kern w:val="0"/>
          <w:sz w:val="24"/>
          <w:szCs w:val="24"/>
          <w:shd w:val="clear" w:color="auto" w:fill="auto"/>
          <w:lang w:val="en-US" w:eastAsia="zh-CN" w:bidi="ar"/>
        </w:rPr>
        <w:t>报价超过对应标段预算金额的，视为无效报价。​</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采购需求：拟采购</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电动碳纤维骨科牵引手术床及自动胸外按压仪（心肺复苏机）各一台</w:t>
      </w:r>
      <w:r>
        <w:rPr>
          <w:rFonts w:hint="eastAsia" w:ascii="宋体" w:hAnsi="宋体" w:eastAsia="宋体" w:cs="宋体"/>
          <w:color w:val="auto"/>
          <w:sz w:val="24"/>
          <w:szCs w:val="24"/>
          <w:highlight w:val="none"/>
        </w:rPr>
        <w:t>。如需近一步了解，详见竞争性谈判采购文件。</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合同履行期限：合同签订之日起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本项目不接受联合体竞标。</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w:t>
      </w:r>
    </w:p>
    <w:p>
      <w:pPr>
        <w:widowControl w:val="0"/>
        <w:spacing w:after="80" w:line="500" w:lineRule="exact"/>
        <w:ind w:firstLine="480" w:firstLineChars="200"/>
        <w:rPr>
          <w:rFonts w:ascii="宋体" w:hAnsi="宋体" w:eastAsia="宋体" w:cs="宋体"/>
          <w:color w:val="auto"/>
          <w:sz w:val="24"/>
          <w:szCs w:val="24"/>
          <w:highlight w:val="none"/>
        </w:rPr>
      </w:pPr>
      <w:bookmarkStart w:id="2" w:name="_Toc28359092"/>
      <w:bookmarkStart w:id="3" w:name="_Toc35393632"/>
      <w:bookmarkStart w:id="4" w:name="_Toc28359015"/>
      <w:bookmarkStart w:id="5" w:name="_Toc35393801"/>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rPr>
          <w:rFonts w:hint="eastAsia" w:ascii="宋体" w:hAnsi="宋体" w:eastAsia="宋体" w:cs="宋体"/>
          <w:b/>
          <w:bCs/>
          <w:color w:val="auto"/>
          <w:sz w:val="24"/>
          <w:szCs w:val="24"/>
          <w:highlight w:val="none"/>
          <w:lang w:val="en-US" w:eastAsia="zh-CN"/>
        </w:rPr>
      </w:pPr>
      <w:bookmarkStart w:id="6" w:name="OLE_LINK1"/>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报名</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确定参与本项目供应商请2025年11月13日前提供以下材料发送至邮箱报名（llxzyyycgb@163.com）：</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报名函（</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w:t>
      </w:r>
      <w:r>
        <w:rPr>
          <w:rFonts w:hint="eastAsia" w:ascii="宋体" w:hAnsi="宋体" w:eastAsia="宋体" w:cs="宋体"/>
          <w:color w:val="auto"/>
          <w:sz w:val="24"/>
          <w:szCs w:val="24"/>
          <w:highlight w:val="none"/>
        </w:rPr>
        <w:t>经营许可证》或《</w:t>
      </w:r>
      <w:r>
        <w:rPr>
          <w:rFonts w:hint="eastAsia" w:ascii="宋体" w:hAnsi="宋体" w:eastAsia="宋体" w:cs="宋体"/>
          <w:color w:val="auto"/>
          <w:sz w:val="24"/>
          <w:szCs w:val="24"/>
          <w:highlight w:val="none"/>
          <w:lang w:val="en-US" w:eastAsia="zh-CN"/>
        </w:rPr>
        <w:t>医疗器械</w:t>
      </w:r>
      <w:r>
        <w:rPr>
          <w:rFonts w:hint="eastAsia" w:ascii="宋体" w:hAnsi="宋体" w:eastAsia="宋体" w:cs="宋体"/>
          <w:color w:val="auto"/>
          <w:sz w:val="24"/>
          <w:szCs w:val="24"/>
          <w:highlight w:val="none"/>
        </w:rPr>
        <w:t>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3、法人身份证正反面复印件（加盖公司公章）、授权代理人身份证正反面复印件（加盖公章）。</w:t>
      </w:r>
    </w:p>
    <w:p>
      <w:pPr>
        <w:pStyle w:val="2"/>
        <w:numPr>
          <w:ilvl w:val="0"/>
          <w:numId w:val="0"/>
        </w:numPr>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响应文件提交</w:t>
      </w:r>
      <w:bookmarkEnd w:id="2"/>
      <w:bookmarkEnd w:id="3"/>
      <w:bookmarkEnd w:id="4"/>
      <w:bookmarkEnd w:id="5"/>
    </w:p>
    <w:p>
      <w:pPr>
        <w:widowControl w:val="0"/>
        <w:spacing w:after="80" w:line="500" w:lineRule="exact"/>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rPr>
        <w:t>地点：</w:t>
      </w:r>
      <w:bookmarkStart w:id="7" w:name="_Toc28359007"/>
      <w:bookmarkStart w:id="8" w:name="_Toc28359084"/>
      <w:bookmarkStart w:id="9" w:name="_Toc35393794"/>
      <w:bookmarkStart w:id="10" w:name="_Toc35393625"/>
      <w:r>
        <w:rPr>
          <w:rFonts w:hint="eastAsia" w:asciiTheme="minorEastAsia" w:hAnsiTheme="minorEastAsia" w:eastAsiaTheme="minorEastAsia" w:cstheme="minorEastAsia"/>
          <w:sz w:val="24"/>
          <w:szCs w:val="24"/>
        </w:rPr>
        <w:t>隆林各族自治县中医医院门诊楼5楼采购办（江那小区）</w:t>
      </w:r>
    </w:p>
    <w:p>
      <w:pPr>
        <w:pStyle w:val="17"/>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递交方式：</w:t>
      </w:r>
      <w:r>
        <w:rPr>
          <w:rFonts w:hint="eastAsia" w:asciiTheme="minorEastAsia" w:hAnsiTheme="minorEastAsia" w:eastAsiaTheme="minorEastAsia" w:cstheme="minorEastAsia"/>
          <w:b w:val="0"/>
          <w:bCs w:val="0"/>
          <w:sz w:val="24"/>
          <w:szCs w:val="24"/>
          <w:lang w:eastAsia="zh-CN"/>
        </w:rPr>
        <w:t>竟谈会时</w:t>
      </w:r>
      <w:r>
        <w:rPr>
          <w:rFonts w:hint="eastAsia" w:asciiTheme="minorEastAsia" w:hAnsiTheme="minorEastAsia" w:eastAsiaTheme="minorEastAsia" w:cstheme="minorEastAsia"/>
          <w:b w:val="0"/>
          <w:bCs w:val="0"/>
          <w:sz w:val="24"/>
          <w:szCs w:val="24"/>
        </w:rPr>
        <w:t>现场递交</w:t>
      </w:r>
      <w:bookmarkEnd w:id="6"/>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五、竟谈会时间</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hAnsi="宋体" w:cs="宋体"/>
          <w:color w:val="auto"/>
          <w:sz w:val="24"/>
          <w:szCs w:val="24"/>
          <w:highlight w:val="none"/>
          <w:lang w:val="en-US" w:eastAsia="zh-CN"/>
        </w:rPr>
        <w:t>竟谈会时间由院方提前两天通知</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Theme="minorEastAsia" w:hAnsiTheme="minorEastAsia" w:eastAsiaTheme="minorEastAsia" w:cstheme="minorEastAsia"/>
          <w:sz w:val="24"/>
          <w:szCs w:val="24"/>
        </w:rPr>
        <w:t>隆林各族自治县中医医院门诊楼5楼</w:t>
      </w:r>
      <w:r>
        <w:rPr>
          <w:rFonts w:hint="eastAsia" w:asciiTheme="minorEastAsia" w:hAnsiTheme="minorEastAsia" w:eastAsiaTheme="minorEastAsia" w:cstheme="minorEastAsia"/>
          <w:sz w:val="24"/>
          <w:szCs w:val="24"/>
          <w:lang w:val="en-US" w:eastAsia="zh-CN"/>
        </w:rPr>
        <w:t>会议室</w:t>
      </w:r>
      <w:r>
        <w:rPr>
          <w:rFonts w:hint="eastAsia" w:asciiTheme="minorEastAsia" w:hAnsiTheme="minorEastAsia" w:eastAsiaTheme="minorEastAsia" w:cstheme="minorEastAsia"/>
          <w:sz w:val="24"/>
          <w:szCs w:val="24"/>
        </w:rPr>
        <w:t>（江那小区）</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、公告期限</w:t>
      </w:r>
      <w:bookmarkEnd w:id="7"/>
      <w:bookmarkEnd w:id="8"/>
      <w:bookmarkEnd w:id="9"/>
      <w:bookmarkEnd w:id="10"/>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2025年11月7日-2025年11月13日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1.网上查询地址：</w:t>
      </w:r>
      <w:r>
        <w:rPr>
          <w:rFonts w:hint="eastAsia" w:ascii="宋体" w:hAnsi="宋体" w:eastAsia="宋体" w:cs="宋体"/>
          <w:color w:val="auto"/>
          <w:kern w:val="0"/>
          <w:sz w:val="24"/>
          <w:szCs w:val="24"/>
          <w:highlight w:val="none"/>
          <w:u w:val="none"/>
          <w:lang w:val="en-US" w:eastAsia="zh-CN"/>
        </w:rPr>
        <w:fldChar w:fldCharType="begin"/>
      </w:r>
      <w:r>
        <w:rPr>
          <w:rFonts w:hint="eastAsia" w:ascii="宋体" w:hAnsi="宋体" w:eastAsia="宋体" w:cs="宋体"/>
          <w:color w:val="auto"/>
          <w:kern w:val="0"/>
          <w:sz w:val="24"/>
          <w:szCs w:val="24"/>
          <w:highlight w:val="none"/>
          <w:u w:val="none"/>
          <w:lang w:val="en-US" w:eastAsia="zh-CN"/>
        </w:rPr>
        <w:instrText xml:space="preserve"> HYPERLINK "https://llgzzzxzyyy.cn（隆林各族自治县中医医院官网）。" </w:instrText>
      </w:r>
      <w:r>
        <w:rPr>
          <w:rFonts w:hint="eastAsia" w:ascii="宋体" w:hAnsi="宋体" w:eastAsia="宋体" w:cs="宋体"/>
          <w:color w:val="auto"/>
          <w:kern w:val="0"/>
          <w:sz w:val="24"/>
          <w:szCs w:val="24"/>
          <w:highlight w:val="none"/>
          <w:u w:val="none"/>
          <w:lang w:val="en-US" w:eastAsia="zh-CN"/>
        </w:rPr>
        <w:fldChar w:fldCharType="separate"/>
      </w:r>
      <w:r>
        <w:rPr>
          <w:rStyle w:val="24"/>
          <w:rFonts w:hint="eastAsia" w:ascii="宋体" w:hAnsi="宋体" w:eastAsia="宋体" w:cs="宋体"/>
          <w:kern w:val="0"/>
          <w:sz w:val="24"/>
          <w:szCs w:val="24"/>
          <w:highlight w:val="none"/>
          <w:lang w:val="en-US" w:eastAsia="zh-CN"/>
        </w:rPr>
        <w:t>https://llgzzzxzyyy.cn（隆林各族自治县中医医院官网）。</w:t>
      </w:r>
      <w:r>
        <w:rPr>
          <w:rFonts w:hint="eastAsia" w:ascii="宋体" w:hAnsi="宋体" w:eastAsia="宋体" w:cs="宋体"/>
          <w:color w:val="auto"/>
          <w:kern w:val="0"/>
          <w:sz w:val="24"/>
          <w:szCs w:val="24"/>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.竞标保证金：无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3.</w:t>
      </w:r>
      <w:r>
        <w:rPr>
          <w:rFonts w:hint="eastAsia" w:ascii="宋体" w:hAnsi="宋体" w:eastAsia="宋体" w:cs="宋体"/>
          <w:color w:val="auto"/>
          <w:sz w:val="24"/>
          <w:szCs w:val="24"/>
          <w:highlight w:val="none"/>
        </w:rPr>
        <w:t>本项目需要落实的政府采购政策：</w:t>
      </w:r>
      <w:r>
        <w:rPr>
          <w:rFonts w:hint="eastAsia" w:ascii="宋体" w:hAnsi="宋体" w:eastAsia="宋体" w:cs="宋体"/>
          <w:color w:val="auto"/>
          <w:sz w:val="24"/>
          <w:szCs w:val="24"/>
          <w:highlight w:val="none"/>
          <w:lang w:val="en-US" w:eastAsia="zh-CN"/>
        </w:rPr>
        <w:t>元</w:t>
      </w:r>
    </w:p>
    <w:p>
      <w:pPr>
        <w:widowControl w:val="0"/>
        <w:spacing w:after="80" w:line="50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、凡对本次采购提出询问，请按以下方式联系：</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隆林各族自治县中医医院</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default" w:ascii="宋体" w:hAnsi="宋体" w:eastAsia="宋体" w:cs="宋体"/>
          <w:color w:val="auto"/>
          <w:sz w:val="24"/>
          <w:szCs w:val="24"/>
          <w:highlight w:val="none"/>
          <w:lang w:eastAsia="zh-CN"/>
        </w:rPr>
        <w:t>隆林各族自治县江那小区</w:t>
      </w:r>
      <w:r>
        <w:rPr>
          <w:rFonts w:hint="eastAsia" w:ascii="宋体" w:hAnsi="宋体" w:eastAsia="宋体" w:cs="宋体"/>
          <w:color w:val="auto"/>
          <w:sz w:val="24"/>
          <w:szCs w:val="24"/>
          <w:highlight w:val="none"/>
        </w:rPr>
        <w:t xml:space="preserve"> </w:t>
      </w:r>
    </w:p>
    <w:p>
      <w:pPr>
        <w:widowControl w:val="0"/>
        <w:spacing w:after="80" w:line="50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常国明     </w:t>
      </w:r>
      <w:r>
        <w:rPr>
          <w:rFonts w:hint="eastAsia" w:ascii="宋体" w:hAnsi="宋体" w:eastAsia="宋体" w:cs="宋体"/>
          <w:color w:val="auto"/>
          <w:sz w:val="24"/>
          <w:szCs w:val="24"/>
          <w:highlight w:val="none"/>
        </w:rPr>
        <w:t xml:space="preserve">  电话：</w:t>
      </w:r>
      <w:r>
        <w:rPr>
          <w:rFonts w:hint="eastAsia" w:ascii="宋体" w:hAnsi="宋体" w:eastAsia="宋体" w:cs="宋体"/>
          <w:sz w:val="24"/>
          <w:szCs w:val="24"/>
          <w:highlight w:val="none"/>
          <w:u w:val="none"/>
          <w:lang w:val="en-US" w:eastAsia="zh-CN"/>
        </w:rPr>
        <w:t>0776-5084153</w:t>
      </w:r>
    </w:p>
    <w:p>
      <w:pPr>
        <w:pStyle w:val="2"/>
        <w:numPr>
          <w:ilvl w:val="0"/>
          <w:numId w:val="1"/>
        </w:numPr>
        <w:ind w:left="480" w:leftChars="0" w:firstLine="0" w:firstLineChars="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监督人</w:t>
      </w:r>
    </w:p>
    <w:p>
      <w:pPr>
        <w:numPr>
          <w:ilvl w:val="0"/>
          <w:numId w:val="0"/>
        </w:numPr>
        <w:ind w:left="480" w:leftChars="0"/>
        <w:rPr>
          <w:rFonts w:hint="default" w:eastAsia="微软雅黑"/>
          <w:lang w:val="en-US" w:eastAsia="zh-CN"/>
        </w:rPr>
      </w:pPr>
      <w:r>
        <w:rPr>
          <w:rFonts w:hint="eastAsia"/>
          <w:lang w:val="en-US" w:eastAsia="zh-CN"/>
        </w:rPr>
        <w:t>院纪检监察室：谭主任     电话：0776-2505111</w:t>
      </w:r>
    </w:p>
    <w:p>
      <w:pPr>
        <w:widowControl w:val="0"/>
        <w:wordWrap w:val="0"/>
        <w:spacing w:after="80" w:line="500" w:lineRule="exact"/>
        <w:ind w:left="247" w:right="143" w:rightChars="65" w:hanging="247" w:hangingChars="103"/>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隆林各族自治县中医医院</w:t>
      </w:r>
      <w:r>
        <w:rPr>
          <w:rFonts w:hint="eastAsia" w:ascii="宋体" w:hAnsi="宋体" w:eastAsia="宋体" w:cs="宋体"/>
          <w:color w:val="auto"/>
          <w:sz w:val="24"/>
          <w:szCs w:val="24"/>
          <w:highlight w:val="none"/>
        </w:rPr>
        <w:t xml:space="preserve">         </w:t>
      </w:r>
    </w:p>
    <w:p>
      <w:pPr>
        <w:ind w:firstLine="6240" w:firstLineChars="2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日            </w:t>
      </w:r>
    </w:p>
    <w:bookmarkEnd w:id="1"/>
    <w:p>
      <w:pPr>
        <w:spacing w:line="360" w:lineRule="auto"/>
        <w:ind w:firstLine="2570" w:firstLineChars="800"/>
        <w:rPr>
          <w:rFonts w:ascii="宋体" w:hAnsi="宋体" w:eastAsia="宋体" w:cs="宋体"/>
          <w:color w:val="auto"/>
          <w:sz w:val="24"/>
          <w:szCs w:val="2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第二章  </w:t>
      </w:r>
      <w:bookmarkEnd w:id="0"/>
      <w:r>
        <w:rPr>
          <w:rFonts w:hint="eastAsia" w:ascii="宋体" w:hAnsi="宋体" w:eastAsia="宋体" w:cs="宋体"/>
          <w:b/>
          <w:color w:val="auto"/>
          <w:sz w:val="32"/>
          <w:szCs w:val="32"/>
          <w:highlight w:val="none"/>
        </w:rPr>
        <w:t>供应商须知及前附表</w:t>
      </w:r>
    </w:p>
    <w:tbl>
      <w:tblPr>
        <w:tblStyle w:val="20"/>
        <w:tblW w:w="9233" w:type="dxa"/>
        <w:tblInd w:w="108" w:type="dxa"/>
        <w:tblLayout w:type="fixed"/>
        <w:tblCellMar>
          <w:top w:w="0" w:type="dxa"/>
          <w:left w:w="108" w:type="dxa"/>
          <w:bottom w:w="0" w:type="dxa"/>
          <w:right w:w="108" w:type="dxa"/>
        </w:tblCellMar>
      </w:tblPr>
      <w:tblGrid>
        <w:gridCol w:w="758"/>
        <w:gridCol w:w="1030"/>
        <w:gridCol w:w="7445"/>
      </w:tblGrid>
      <w:tr>
        <w:tblPrEx>
          <w:tblCellMar>
            <w:top w:w="0" w:type="dxa"/>
            <w:left w:w="108" w:type="dxa"/>
            <w:bottom w:w="0" w:type="dxa"/>
            <w:right w:w="108" w:type="dxa"/>
          </w:tblCellMar>
        </w:tblPrEx>
        <w:trPr>
          <w:trHeight w:val="53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内容规格</w:t>
            </w:r>
          </w:p>
        </w:tc>
      </w:tr>
      <w:tr>
        <w:tblPrEx>
          <w:tblCellMar>
            <w:top w:w="0" w:type="dxa"/>
            <w:left w:w="108" w:type="dxa"/>
            <w:bottom w:w="0" w:type="dxa"/>
            <w:right w:w="108" w:type="dxa"/>
          </w:tblCellMar>
        </w:tblPrEx>
        <w:trPr>
          <w:trHeight w:val="3640"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b/>
                <w:color w:val="auto"/>
                <w:sz w:val="24"/>
                <w:highlight w:val="none"/>
              </w:rPr>
            </w:pPr>
            <w:r>
              <w:rPr>
                <w:rFonts w:hint="eastAsia" w:ascii="宋体" w:hAnsi="宋体" w:eastAsia="宋体" w:cs="宋体"/>
                <w:b/>
                <w:color w:val="auto"/>
                <w:sz w:val="24"/>
                <w:highlight w:val="none"/>
              </w:rPr>
              <w:t>项目综合说明：</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隆林各族自治县中医医院</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w:t>
            </w:r>
            <w:r>
              <w:rPr>
                <w:rFonts w:hint="eastAsia" w:ascii="宋体" w:hAnsi="宋体" w:eastAsia="宋体" w:cs="宋体"/>
                <w:color w:val="auto"/>
                <w:sz w:val="24"/>
                <w:highlight w:val="none"/>
                <w:lang w:eastAsia="zh-CN"/>
              </w:rPr>
              <w:t>采购项目</w:t>
            </w:r>
          </w:p>
          <w:p>
            <w:pPr>
              <w:widowControl w:val="0"/>
              <w:spacing w:after="80"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szCs w:val="24"/>
                <w:highlight w:val="none"/>
                <w:lang w:val="en-US" w:eastAsia="zh-CN"/>
              </w:rPr>
              <w:t>LLXZYYY20250034</w:t>
            </w:r>
          </w:p>
          <w:p>
            <w:pPr>
              <w:rPr>
                <w:rFonts w:ascii="宋体" w:hAnsi="宋体" w:eastAsia="宋体" w:cs="宋体"/>
                <w:color w:val="auto"/>
                <w:sz w:val="24"/>
                <w:highlight w:val="none"/>
              </w:rPr>
            </w:pP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highlight w:val="none"/>
              </w:rPr>
              <w:t xml:space="preserve">      </w:t>
            </w:r>
          </w:p>
          <w:p>
            <w:pPr>
              <w:spacing w:before="240"/>
              <w:rPr>
                <w:rFonts w:ascii="宋体" w:hAnsi="宋体" w:eastAsia="宋体" w:cs="宋体"/>
                <w:color w:val="auto"/>
                <w:sz w:val="24"/>
                <w:highlight w:val="none"/>
              </w:rPr>
            </w:pPr>
            <w:r>
              <w:rPr>
                <w:rFonts w:hint="eastAsia" w:ascii="宋体" w:hAnsi="宋体" w:eastAsia="宋体" w:cs="宋体"/>
                <w:color w:val="auto"/>
                <w:sz w:val="24"/>
                <w:highlight w:val="none"/>
              </w:rPr>
              <w:t>交货期：合同签订之日起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spacing w:before="240" w:line="360" w:lineRule="auto"/>
              <w:rPr>
                <w:rFonts w:ascii="宋体" w:hAnsi="宋体" w:eastAsia="宋体" w:cs="宋体"/>
                <w:color w:val="auto"/>
                <w:sz w:val="24"/>
                <w:szCs w:val="24"/>
                <w:highlight w:val="none"/>
              </w:rPr>
            </w:pPr>
            <w:r>
              <w:rPr>
                <w:rFonts w:hint="eastAsia" w:ascii="宋体" w:hAnsi="宋体" w:eastAsia="宋体" w:cs="宋体"/>
                <w:color w:val="auto"/>
                <w:spacing w:val="2"/>
                <w:sz w:val="24"/>
                <w:highlight w:val="none"/>
              </w:rPr>
              <w:t>项目基本概况</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拟采购</w:t>
            </w:r>
            <w:r>
              <w:rPr>
                <w:rFonts w:hint="eastAsia" w:asciiTheme="minorEastAsia" w:hAnsiTheme="minorEastAsia" w:eastAsiaTheme="minorEastAsia" w:cstheme="minorEastAsia"/>
                <w:b w:val="0"/>
                <w:bCs w:val="0"/>
                <w:i w:val="0"/>
                <w:iCs w:val="0"/>
                <w:caps w:val="0"/>
                <w:color w:val="1F2329"/>
                <w:spacing w:val="0"/>
                <w:kern w:val="0"/>
                <w:sz w:val="24"/>
                <w:szCs w:val="24"/>
                <w:u w:val="none"/>
                <w:shd w:val="clear" w:color="auto" w:fill="auto"/>
                <w:lang w:val="en-US" w:eastAsia="zh-CN" w:bidi="ar"/>
              </w:rPr>
              <w:t>电动碳纤维骨科牵引手术床及自动胸外按压仪（心肺复苏机）各一台</w:t>
            </w:r>
            <w:r>
              <w:rPr>
                <w:rFonts w:hint="eastAsia" w:ascii="宋体" w:hAnsi="宋体" w:eastAsia="宋体" w:cs="宋体"/>
                <w:color w:val="auto"/>
                <w:sz w:val="24"/>
                <w:highlight w:val="none"/>
              </w:rPr>
              <w:t>。如需近一步了解，详见竞争性谈判采购文件。</w:t>
            </w:r>
          </w:p>
        </w:tc>
      </w:tr>
      <w:tr>
        <w:tblPrEx>
          <w:tblCellMar>
            <w:top w:w="0" w:type="dxa"/>
            <w:left w:w="108" w:type="dxa"/>
            <w:bottom w:w="0" w:type="dxa"/>
            <w:right w:w="108" w:type="dxa"/>
          </w:tblCellMar>
        </w:tblPrEx>
        <w:trPr>
          <w:trHeight w:val="566"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资金来源：财政资金</w:t>
            </w:r>
          </w:p>
        </w:tc>
      </w:tr>
      <w:tr>
        <w:tblPrEx>
          <w:tblCellMar>
            <w:top w:w="0" w:type="dxa"/>
            <w:left w:w="108" w:type="dxa"/>
            <w:bottom w:w="0" w:type="dxa"/>
            <w:right w:w="108" w:type="dxa"/>
          </w:tblCellMar>
        </w:tblPrEx>
        <w:trPr>
          <w:trHeight w:val="5810"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供应商资格：</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keepNext w:val="0"/>
              <w:keepLines w:val="0"/>
              <w:widowControl/>
              <w:numPr>
                <w:ilvl w:val="0"/>
                <w:numId w:val="0"/>
              </w:numPr>
              <w:suppressLineNumbers w:val="0"/>
              <w:pBdr>
                <w:top w:val="none" w:color="auto" w:sz="0" w:space="0"/>
                <w:left w:val="none" w:color="auto" w:sz="0" w:space="16"/>
                <w:bottom w:val="none" w:color="auto" w:sz="0" w:space="0"/>
                <w:right w:val="none" w:color="auto" w:sz="0" w:space="0"/>
                <w:between w:val="none" w:color="auto" w:sz="0" w:space="0"/>
              </w:pBdr>
              <w:spacing w:before="0" w:beforeAutospacing="0" w:after="0" w:afterAutospacing="0" w:line="23" w:lineRule="atLeast"/>
              <w:ind w:right="0" w:rightChars="0"/>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i w:val="0"/>
                <w:iCs w:val="0"/>
                <w:caps w:val="0"/>
                <w:color w:val="1F2329"/>
                <w:spacing w:val="0"/>
                <w:sz w:val="24"/>
                <w:szCs w:val="24"/>
                <w:shd w:val="clear" w:color="auto" w:fill="auto"/>
              </w:rPr>
              <w:t>中国” 网站（</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begin"/>
            </w:r>
            <w:r>
              <w:rPr>
                <w:rFonts w:hint="eastAsia" w:asciiTheme="minorEastAsia" w:hAnsiTheme="minorEastAsia" w:eastAsiaTheme="minorEastAsia" w:cstheme="minorEastAsia"/>
                <w:i w:val="0"/>
                <w:iCs w:val="0"/>
                <w:caps w:val="0"/>
                <w:color w:val="1456F0"/>
                <w:spacing w:val="0"/>
                <w:sz w:val="24"/>
                <w:szCs w:val="24"/>
                <w:u w:val="none"/>
                <w:shd w:val="clear" w:color="auto" w:fill="auto"/>
              </w:rPr>
              <w:instrText xml:space="preserve"> HYPERLINK "https://www.creditchina.gov.cn/" \t "https://www.doubao.com/chat/_blank" </w:instrTex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separate"/>
            </w:r>
            <w:r>
              <w:rPr>
                <w:rStyle w:val="24"/>
                <w:rFonts w:hint="eastAsia" w:asciiTheme="minorEastAsia" w:hAnsiTheme="minorEastAsia" w:eastAsiaTheme="minorEastAsia" w:cstheme="minorEastAsia"/>
                <w:i w:val="0"/>
                <w:iCs w:val="0"/>
                <w:caps w:val="0"/>
                <w:color w:val="1456F0"/>
                <w:spacing w:val="0"/>
                <w:sz w:val="24"/>
                <w:szCs w:val="24"/>
                <w:u w:val="none"/>
                <w:shd w:val="clear" w:color="auto" w:fill="auto"/>
              </w:rPr>
              <w:t>www.creditchina.gov.cn</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end"/>
            </w:r>
            <w:r>
              <w:rPr>
                <w:rFonts w:hint="eastAsia" w:asciiTheme="minorEastAsia" w:hAnsiTheme="minorEastAsia" w:eastAsiaTheme="minorEastAsia" w:cstheme="minorEastAsia"/>
                <w:i w:val="0"/>
                <w:iCs w:val="0"/>
                <w:caps w:val="0"/>
                <w:color w:val="1F2329"/>
                <w:spacing w:val="0"/>
                <w:sz w:val="24"/>
                <w:szCs w:val="24"/>
                <w:shd w:val="clear" w:color="auto" w:fill="auto"/>
              </w:rPr>
              <w:t>）及 “中国政府采购网”（</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begin"/>
            </w:r>
            <w:r>
              <w:rPr>
                <w:rFonts w:hint="eastAsia" w:asciiTheme="minorEastAsia" w:hAnsiTheme="minorEastAsia" w:eastAsiaTheme="minorEastAsia" w:cstheme="minorEastAsia"/>
                <w:i w:val="0"/>
                <w:iCs w:val="0"/>
                <w:caps w:val="0"/>
                <w:color w:val="1456F0"/>
                <w:spacing w:val="0"/>
                <w:sz w:val="24"/>
                <w:szCs w:val="24"/>
                <w:u w:val="none"/>
                <w:shd w:val="clear" w:color="auto" w:fill="auto"/>
              </w:rPr>
              <w:instrText xml:space="preserve"> HYPERLINK "https://www.ccgp.gov.cn/" \t "https://www.doubao.com/chat/_blank" </w:instrTex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separate"/>
            </w:r>
            <w:r>
              <w:rPr>
                <w:rStyle w:val="24"/>
                <w:rFonts w:hint="eastAsia" w:asciiTheme="minorEastAsia" w:hAnsiTheme="minorEastAsia" w:eastAsiaTheme="minorEastAsia" w:cstheme="minorEastAsia"/>
                <w:i w:val="0"/>
                <w:iCs w:val="0"/>
                <w:caps w:val="0"/>
                <w:color w:val="1456F0"/>
                <w:spacing w:val="0"/>
                <w:sz w:val="24"/>
                <w:szCs w:val="24"/>
                <w:u w:val="none"/>
                <w:shd w:val="clear" w:color="auto" w:fill="auto"/>
              </w:rPr>
              <w:t>www.ccgp.gov.cn</w:t>
            </w:r>
            <w:r>
              <w:rPr>
                <w:rFonts w:hint="eastAsia" w:asciiTheme="minorEastAsia" w:hAnsiTheme="minorEastAsia" w:eastAsiaTheme="minorEastAsia" w:cstheme="minorEastAsia"/>
                <w:i w:val="0"/>
                <w:iCs w:val="0"/>
                <w:caps w:val="0"/>
                <w:color w:val="1456F0"/>
                <w:spacing w:val="0"/>
                <w:sz w:val="24"/>
                <w:szCs w:val="24"/>
                <w:u w:val="none"/>
                <w:shd w:val="clear" w:color="auto" w:fill="auto"/>
              </w:rPr>
              <w:fldChar w:fldCharType="end"/>
            </w:r>
            <w:r>
              <w:rPr>
                <w:rFonts w:hint="eastAsia" w:asciiTheme="minorEastAsia" w:hAnsiTheme="minorEastAsia" w:eastAsiaTheme="minorEastAsia" w:cstheme="minorEastAsia"/>
                <w:i w:val="0"/>
                <w:iCs w:val="0"/>
                <w:caps w:val="0"/>
                <w:color w:val="1F2329"/>
                <w:spacing w:val="0"/>
                <w:sz w:val="24"/>
                <w:szCs w:val="24"/>
                <w:shd w:val="clear" w:color="auto" w:fill="auto"/>
              </w:rPr>
              <w:t>）无失信记录查询截图（加盖公章）；​</w:t>
            </w:r>
          </w:p>
          <w:p>
            <w:pPr>
              <w:keepNext w:val="0"/>
              <w:keepLines w:val="0"/>
              <w:widowControl/>
              <w:numPr>
                <w:ilvl w:val="0"/>
                <w:numId w:val="2"/>
              </w:numPr>
              <w:suppressLineNumbers w:val="0"/>
              <w:pBdr>
                <w:top w:val="none" w:color="auto" w:sz="0" w:space="0"/>
                <w:left w:val="none" w:color="auto" w:sz="0" w:space="16"/>
                <w:bottom w:val="none" w:color="auto" w:sz="0" w:space="0"/>
                <w:right w:val="none" w:color="auto" w:sz="0" w:space="0"/>
                <w:between w:val="none" w:color="auto" w:sz="0" w:space="0"/>
              </w:pBdr>
              <w:spacing w:before="0" w:beforeAutospacing="0" w:after="0" w:afterAutospacing="0" w:line="23" w:lineRule="atLeast"/>
              <w:ind w:left="0" w:right="0" w:hanging="360"/>
              <w:textAlignment w:val="auto"/>
              <w:rPr>
                <w:rFonts w:hint="eastAsia" w:asciiTheme="minorEastAsia" w:hAnsiTheme="minorEastAsia" w:eastAsiaTheme="minorEastAsia" w:cstheme="minorEastAsia"/>
                <w:sz w:val="24"/>
                <w:szCs w:val="24"/>
                <w:shd w:val="clear" w:color="auto" w:fill="auto"/>
              </w:rPr>
            </w:pPr>
          </w:p>
          <w:p>
            <w:pPr>
              <w:keepNext w:val="0"/>
              <w:keepLines w:val="0"/>
              <w:widowControl/>
              <w:numPr>
                <w:ilvl w:val="0"/>
                <w:numId w:val="0"/>
              </w:numPr>
              <w:suppressLineNumbers w:val="0"/>
              <w:pBdr>
                <w:top w:val="none" w:color="auto" w:sz="0" w:space="0"/>
                <w:left w:val="none" w:color="auto" w:sz="0" w:space="16"/>
                <w:bottom w:val="none" w:color="auto" w:sz="0" w:space="0"/>
                <w:right w:val="none" w:color="auto" w:sz="0" w:space="0"/>
                <w:between w:val="none" w:color="auto" w:sz="0" w:space="0"/>
              </w:pBdr>
              <w:spacing w:before="0" w:beforeAutospacing="0" w:after="0" w:afterAutospacing="0" w:line="23" w:lineRule="atLeast"/>
              <w:ind w:right="0" w:rightChars="0"/>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cstheme="minorEastAsia"/>
                <w:i w:val="0"/>
                <w:iCs w:val="0"/>
                <w:caps w:val="0"/>
                <w:color w:val="1F2329"/>
                <w:spacing w:val="0"/>
                <w:sz w:val="24"/>
                <w:szCs w:val="24"/>
                <w:shd w:val="clear" w:color="auto" w:fill="auto"/>
                <w:lang w:val="en-US" w:eastAsia="zh-CN"/>
              </w:rPr>
              <w:t>7.</w:t>
            </w:r>
            <w:r>
              <w:rPr>
                <w:rFonts w:hint="eastAsia" w:asciiTheme="minorEastAsia" w:hAnsiTheme="minorEastAsia" w:eastAsiaTheme="minorEastAsia" w:cstheme="minorEastAsia"/>
                <w:i w:val="0"/>
                <w:iCs w:val="0"/>
                <w:caps w:val="0"/>
                <w:color w:val="1F2329"/>
                <w:spacing w:val="0"/>
                <w:sz w:val="24"/>
                <w:szCs w:val="24"/>
                <w:shd w:val="clear" w:color="auto" w:fill="auto"/>
              </w:rPr>
              <w:t>近2年内（2023年10月至今）至少具有3家二级及以上医院同类设备（射频控温热凝器）的销售业绩，需提供合同关键页复印件（含采购单位、设备型号、合同金额、签字盖章页）；​</w:t>
            </w:r>
          </w:p>
          <w:p>
            <w:pPr>
              <w:pStyle w:val="17"/>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w:t>
            </w:r>
          </w:p>
          <w:p>
            <w:pPr>
              <w:widowControl w:val="0"/>
              <w:spacing w:after="80" w:line="500" w:lineRule="exact"/>
              <w:ind w:firstLine="480" w:firstLineChars="200"/>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69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现场勘查：</w:t>
            </w: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77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竞标有效期为：竞标截止之日后</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0（日历天）。</w:t>
            </w:r>
          </w:p>
        </w:tc>
      </w:tr>
      <w:tr>
        <w:tblPrEx>
          <w:tblCellMar>
            <w:top w:w="0" w:type="dxa"/>
            <w:left w:w="108" w:type="dxa"/>
            <w:bottom w:w="0" w:type="dxa"/>
            <w:right w:w="108" w:type="dxa"/>
          </w:tblCellMar>
        </w:tblPrEx>
        <w:trPr>
          <w:trHeight w:val="70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440" w:lineRule="exact"/>
              <w:rPr>
                <w:rFonts w:ascii="宋体" w:hAnsi="宋体" w:eastAsia="宋体" w:cs="宋体"/>
                <w:color w:val="auto"/>
                <w:sz w:val="24"/>
                <w:szCs w:val="24"/>
                <w:highlight w:val="none"/>
              </w:rPr>
            </w:pPr>
            <w:r>
              <w:rPr>
                <w:rFonts w:hint="eastAsia" w:ascii="宋体" w:hAnsi="宋体" w:eastAsia="宋体" w:cs="宋体"/>
                <w:b/>
                <w:color w:val="auto"/>
                <w:sz w:val="24"/>
                <w:highlight w:val="none"/>
              </w:rPr>
              <w:t>竞标保证金：</w:t>
            </w:r>
            <w:r>
              <w:rPr>
                <w:rFonts w:hint="eastAsia" w:ascii="宋体" w:hAnsi="宋体" w:eastAsia="宋体" w:cs="宋体"/>
                <w:color w:val="auto"/>
                <w:sz w:val="24"/>
                <w:highlight w:val="none"/>
              </w:rPr>
              <w:t>无要求。</w:t>
            </w:r>
          </w:p>
          <w:p>
            <w:pPr>
              <w:ind w:firstLine="480" w:firstLineChars="200"/>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响应文件份数</w:t>
            </w:r>
            <w:r>
              <w:rPr>
                <w:rFonts w:hint="eastAsia" w:ascii="宋体" w:hAnsi="宋体" w:eastAsia="宋体" w:cs="宋体"/>
                <w:color w:val="auto"/>
                <w:sz w:val="24"/>
                <w:highlight w:val="none"/>
              </w:rPr>
              <w:t>：正本壹份，副本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tc>
      </w:tr>
      <w:tr>
        <w:tblPrEx>
          <w:tblCellMar>
            <w:top w:w="0" w:type="dxa"/>
            <w:left w:w="108" w:type="dxa"/>
            <w:bottom w:w="0" w:type="dxa"/>
            <w:right w:w="108" w:type="dxa"/>
          </w:tblCellMar>
        </w:tblPrEx>
        <w:trPr>
          <w:trHeight w:val="7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竞标截止时间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详见竞争性谈判公告</w:t>
            </w:r>
          </w:p>
        </w:tc>
      </w:tr>
      <w:tr>
        <w:tblPrEx>
          <w:tblCellMar>
            <w:top w:w="0" w:type="dxa"/>
            <w:left w:w="108" w:type="dxa"/>
            <w:bottom w:w="0" w:type="dxa"/>
            <w:right w:w="108" w:type="dxa"/>
          </w:tblCellMar>
        </w:tblPrEx>
        <w:trPr>
          <w:trHeight w:val="116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16.2</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响应文件递交地点：</w:t>
            </w:r>
            <w:r>
              <w:rPr>
                <w:rFonts w:hint="eastAsia" w:asciiTheme="minorEastAsia" w:hAnsiTheme="minorEastAsia" w:eastAsiaTheme="minorEastAsia" w:cstheme="minorEastAsia"/>
                <w:sz w:val="24"/>
                <w:szCs w:val="24"/>
                <w:u w:val="single"/>
              </w:rPr>
              <w:t>隆林各族自治县中医医院门诊楼5楼</w:t>
            </w:r>
            <w:r>
              <w:rPr>
                <w:rFonts w:hint="eastAsia" w:asciiTheme="minorEastAsia" w:hAnsiTheme="minorEastAsia" w:eastAsiaTheme="minorEastAsia" w:cstheme="minorEastAsia"/>
                <w:sz w:val="24"/>
                <w:szCs w:val="24"/>
                <w:u w:val="single"/>
                <w:lang w:val="en-US" w:eastAsia="zh-CN"/>
              </w:rPr>
              <w:t>会议室</w:t>
            </w:r>
            <w:r>
              <w:rPr>
                <w:rFonts w:hint="eastAsia" w:asciiTheme="minorEastAsia" w:hAnsiTheme="minorEastAsia" w:eastAsiaTheme="minorEastAsia" w:cstheme="minorEastAsia"/>
                <w:sz w:val="24"/>
                <w:szCs w:val="24"/>
                <w:u w:val="single"/>
              </w:rPr>
              <w:t>（江那小区）</w:t>
            </w:r>
          </w:p>
        </w:tc>
      </w:tr>
      <w:tr>
        <w:tblPrEx>
          <w:tblCellMar>
            <w:top w:w="0" w:type="dxa"/>
            <w:left w:w="108" w:type="dxa"/>
            <w:bottom w:w="0" w:type="dxa"/>
            <w:right w:w="108" w:type="dxa"/>
          </w:tblCellMar>
        </w:tblPrEx>
        <w:trPr>
          <w:trHeight w:val="1291"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谈判时间：</w:t>
            </w:r>
            <w:r>
              <w:rPr>
                <w:rFonts w:hint="eastAsia" w:ascii="宋体" w:hAnsi="宋体" w:eastAsia="宋体" w:cs="宋体"/>
                <w:color w:val="auto"/>
                <w:sz w:val="24"/>
                <w:highlight w:val="none"/>
              </w:rPr>
              <w:t>截标后，谈判地点：</w:t>
            </w:r>
            <w:r>
              <w:rPr>
                <w:rFonts w:hint="eastAsia" w:asciiTheme="minorEastAsia" w:hAnsiTheme="minorEastAsia" w:eastAsiaTheme="minorEastAsia" w:cstheme="minorEastAsia"/>
                <w:sz w:val="24"/>
                <w:szCs w:val="24"/>
              </w:rPr>
              <w:t>隆林各族自治县中医医院门诊楼5楼</w:t>
            </w:r>
            <w:r>
              <w:rPr>
                <w:rFonts w:hint="eastAsia" w:asciiTheme="minorEastAsia" w:hAnsiTheme="minorEastAsia" w:eastAsiaTheme="minorEastAsia" w:cstheme="minorEastAsia"/>
                <w:sz w:val="24"/>
                <w:szCs w:val="24"/>
                <w:lang w:eastAsia="zh-CN"/>
              </w:rPr>
              <w:t>会议室</w:t>
            </w:r>
            <w:r>
              <w:rPr>
                <w:rFonts w:hint="eastAsia" w:asciiTheme="minorEastAsia" w:hAnsiTheme="minorEastAsia" w:eastAsiaTheme="minorEastAsia" w:cstheme="minorEastAsia"/>
                <w:sz w:val="24"/>
                <w:szCs w:val="24"/>
              </w:rPr>
              <w:t>（江那小区）</w:t>
            </w:r>
          </w:p>
        </w:tc>
      </w:tr>
      <w:tr>
        <w:tblPrEx>
          <w:tblCellMar>
            <w:top w:w="0" w:type="dxa"/>
            <w:left w:w="108" w:type="dxa"/>
            <w:bottom w:w="0" w:type="dxa"/>
            <w:right w:w="108" w:type="dxa"/>
          </w:tblCellMar>
        </w:tblPrEx>
        <w:trPr>
          <w:trHeight w:val="146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办法</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通过资格性、符合性审查后，在质量和服务均能满足采购文件实质性响应要求的前提下，按最终评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报价</w:t>
            </w:r>
            <w:r>
              <w:rPr>
                <w:rFonts w:hint="eastAsia" w:ascii="宋体" w:hAnsi="宋体" w:eastAsia="宋体" w:cs="宋体"/>
                <w:b/>
                <w:bCs/>
                <w:color w:val="auto"/>
                <w:sz w:val="24"/>
                <w:szCs w:val="24"/>
                <w:highlight w:val="none"/>
              </w:rPr>
              <w:t>由低到高排列成交候选人顺序</w:t>
            </w:r>
            <w:r>
              <w:rPr>
                <w:rFonts w:hint="eastAsia" w:ascii="宋体" w:hAnsi="宋体" w:eastAsia="宋体" w:cs="宋体"/>
                <w:color w:val="auto"/>
                <w:sz w:val="24"/>
                <w:szCs w:val="24"/>
                <w:highlight w:val="none"/>
              </w:rPr>
              <w:t>，并依照次序确定成交人。</w:t>
            </w:r>
          </w:p>
        </w:tc>
      </w:tr>
    </w:tbl>
    <w:p>
      <w:pPr>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一、总则</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l. 项目综合说明</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 项目的说明见竞标须知前附表（以下称“前附表”）第1项所述。</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 资金来源及落实情况</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 本项目的资金来源为</w:t>
      </w:r>
      <w:r>
        <w:rPr>
          <w:rFonts w:hint="eastAsia" w:ascii="宋体" w:hAnsi="宋体" w:eastAsia="宋体" w:cs="宋体"/>
          <w:color w:val="auto"/>
          <w:sz w:val="24"/>
          <w:highlight w:val="none"/>
          <w:u w:val="single"/>
          <w:lang w:val="en-US" w:eastAsia="zh-CN"/>
        </w:rPr>
        <w:t>专项</w:t>
      </w:r>
      <w:r>
        <w:rPr>
          <w:rFonts w:hint="eastAsia" w:ascii="宋体" w:hAnsi="宋体" w:eastAsia="宋体" w:cs="宋体"/>
          <w:color w:val="auto"/>
          <w:sz w:val="24"/>
          <w:highlight w:val="none"/>
          <w:u w:val="single"/>
          <w:lang w:eastAsia="zh-CN"/>
        </w:rPr>
        <w:t>资金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，资金已落实，并将资金用于本项目合同项下的合理支付。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供应商资质与合格条件的要求</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竞标费用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供应商准备和参加竞标活动所发生的一切费用自理，不管竞标结果如何，采购人对上述费用不负任何责任。</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 现场勘查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建议供应商自行对项目现场和其周围环境进行现场勘查，以获取有关编制响应文件和签署实施项目合同所需的各种资料。供应商应承担现场勘查的责任和风险。勘查现场的费用由供应商自己承担。</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二、竞争性谈判文件</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7. 竞争性谈判文件的组成</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第二章 竞标须知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第三章 货物需求一览表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第四章  合同协议书</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7.2 除本竞标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 xml:space="preserve"> 竞争性谈判文件的澄清</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8.1 供应商应仔细阅读和检查竞争性谈判文件的全部内容。如发现缺页或附件不全，应及时向采购人提出，以便补齐。如有疑问，应于竞争性谈判文件时间截止后3天内，以书面形式（包括书面文字、传真、电报等，下同），要求采购人予以澄清。</w:t>
      </w:r>
    </w:p>
    <w:p>
      <w:pPr>
        <w:spacing w:after="0"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竞争性谈判文件的澄清将在竞标截止时间3个工作日前以书面形式发给竞争性谈判文件的供应商，采购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以书面形式通知所有谈判文件收受人。该澄清的内容为谈判文件的组成部分。但不指明澄清问题的来源。如果澄清发出的时间距竞标截止时间不足3工作日，相应延长竞标截止时间。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8.3 供应商在收到澄清后，应在收到的同时以书面形式通知采购人，确认己收到该澄清。</w:t>
      </w:r>
    </w:p>
    <w:p>
      <w:pPr>
        <w:spacing w:after="0" w:line="48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pPr>
        <w:pStyle w:val="12"/>
        <w:spacing w:line="480" w:lineRule="exact"/>
        <w:ind w:firstLine="420"/>
        <w:rPr>
          <w:rFonts w:hAnsi="宋体" w:cs="宋体"/>
          <w:color w:val="auto"/>
          <w:sz w:val="24"/>
          <w:szCs w:val="24"/>
          <w:highlight w:val="none"/>
        </w:rPr>
      </w:pPr>
      <w:r>
        <w:rPr>
          <w:rFonts w:hint="eastAsia" w:hAnsi="宋体" w:cs="宋体"/>
          <w:color w:val="auto"/>
          <w:sz w:val="24"/>
          <w:szCs w:val="24"/>
          <w:highlight w:val="none"/>
        </w:rPr>
        <w:t>9.1 在竞标截止时间3个工作日前，采购人可以书面形式修改竞争性谈判文件，在谈判文件要求提交响应文件截止时间3个工作日前，以书面形式通知所有谈判文件收受人。该修改的内容为谈判文件的组成部分。并通知所有</w:t>
      </w:r>
      <w:r>
        <w:rPr>
          <w:rFonts w:hint="eastAsia" w:hAnsi="宋体" w:cs="宋体"/>
          <w:color w:val="auto"/>
          <w:sz w:val="24"/>
          <w:szCs w:val="24"/>
          <w:highlight w:val="none"/>
          <w:lang w:val="en-US" w:eastAsia="zh-CN"/>
        </w:rPr>
        <w:t>参与</w:t>
      </w:r>
      <w:r>
        <w:rPr>
          <w:rFonts w:hint="eastAsia" w:hAnsi="宋体" w:cs="宋体"/>
          <w:color w:val="auto"/>
          <w:sz w:val="24"/>
          <w:szCs w:val="24"/>
          <w:highlight w:val="none"/>
        </w:rPr>
        <w:t>竞争性谈判文件的供应商。如果修改竞争性谈判文件的时间距竞标截止时间不足 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9.2 供应商在收到修改内容后，应在收到的同时以书面形式通知采购人，确认己收到该修改。</w:t>
      </w:r>
    </w:p>
    <w:p>
      <w:pPr>
        <w:spacing w:line="38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三、响应文件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响应文件应分为报价文件、资格商务技术文件两个部分组成。供应商应仔细阅读采购文件的所有内容，按采购文件的要求，详细编制响应文件。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（1）报价文件：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2）竞标报价表；（必须提供，否则响应文件按无效处理）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3）供应商认为必要提供的声明及文件资料。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（2）资格商务技术文件：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2）法定代表人（负责人）授权委托书和委托代理人身份证复印件（委托代理时必须提供，格式见第六章），法定代表人（负责人）参加谈判时，提供法定代表人（负责人）身份证明书和身份证复印件；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3）供应商有效的加载社会统一代码的营业执照或事业单位法人证书等主体资格证明副本复印件； （必须提供，否则响应文件按无效处理）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4）供应商依法缴纳税收的相关材料（</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近半年内任意3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处理）</w:t>
      </w:r>
    </w:p>
    <w:p>
      <w:pPr>
        <w:spacing w:after="0"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供应商依法缴纳社会保障资金的相关材料[提供近半年内任意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r>
        <w:rPr>
          <w:rFonts w:hint="eastAsia" w:ascii="宋体" w:hAnsi="宋体" w:eastAsia="宋体" w:cs="宋体"/>
          <w:color w:val="auto"/>
          <w:sz w:val="24"/>
          <w:highlight w:val="none"/>
          <w:lang w:eastAsia="zh-CN"/>
        </w:rPr>
        <w:t>）</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财务状况报告复印件（供应商是法人的，或可提供财务报告或其基本开户银行出具的资信证明；供应商是其他组织和自然人的，提供财务报告或者银行出具的资信证明；对于从取得营业执照时间起到提交响应文件截止时间为止不足要求年数的，只需提交取得营业执照之日起至所要求最近月份的财务报告）；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）供应商参加政府采购活动前3年内在经营活动中没有重大违法记录的书面声明；（必须提供，否则响应文件按无效处理）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）供应商直接控股、管理关系信息表（必须提供，否则响应文件按无效处理）；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）无串通行为承诺函（必须提供，否则响应文件按无效处理）；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）商务要求偏离表（必须提供，否则响应文件按无效处理）；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）货物配置清单（均不含报价）；（必须提供，否则响应文件按无效处理）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）技术要求偏离表；（必须提供，否则响应文件按无效处理）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）售后服务承诺书（内容可以是提供的切实可行的售后服务和优惠承诺）；（必须提供，否则响应文件按无效处理）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）供应商认为需要提供的其他有关资料。（如有请提供）</w:t>
      </w:r>
    </w:p>
    <w:p>
      <w:pPr>
        <w:spacing w:after="0" w:line="480" w:lineRule="exact"/>
        <w:ind w:firstLine="480"/>
        <w:rPr>
          <w:rFonts w:ascii="宋体" w:hAnsi="宋体" w:eastAsia="宋体" w:cs="宋体"/>
          <w:color w:val="auto"/>
          <w:sz w:val="24"/>
          <w:highlight w:val="none"/>
        </w:rPr>
      </w:pPr>
      <w:r>
        <w:rPr>
          <w:rFonts w:hint="eastAsia" w:ascii="宋体" w:hAnsi="宋体" w:cs="宋体"/>
          <w:b/>
          <w:color w:val="auto"/>
          <w:szCs w:val="21"/>
          <w:highlight w:val="none"/>
        </w:rPr>
        <w:t>注：以上标明“必须提供”材料复印件的，必须加盖供应商公章，否则响应文件按无效处理。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 供应商应按照响应文件格式和顺序，自行编制响应文件，响应文件应包含本须知第10.1条中规定的内容，但表格可以按同样格式扩展。</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 竞标报价</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b/>
          <w:color w:val="auto"/>
          <w:sz w:val="24"/>
          <w:highlight w:val="none"/>
        </w:rPr>
        <w:t>2竞标报价为供应商在响应文件中提出的各项支付金额的总和（包含</w:t>
      </w:r>
      <w:r>
        <w:rPr>
          <w:rFonts w:hint="eastAsia" w:ascii="宋体" w:hAnsi="宋体" w:eastAsia="宋体" w:cs="宋体"/>
          <w:b/>
          <w:color w:val="auto"/>
          <w:szCs w:val="21"/>
          <w:highlight w:val="none"/>
        </w:rPr>
        <w:t>税金及其它所有成本费用的总和</w:t>
      </w:r>
      <w:r>
        <w:rPr>
          <w:rFonts w:hint="eastAsia" w:ascii="宋体" w:hAnsi="宋体" w:eastAsia="宋体" w:cs="宋体"/>
          <w:b/>
          <w:color w:val="auto"/>
          <w:sz w:val="24"/>
          <w:highlight w:val="none"/>
        </w:rPr>
        <w:t>）；</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11.3 供应商的竞标报价，应是完成前附表第1项所列的范围及服务期的全部，不得以任何理由予以重复，作为供应商计算竞标报价的依据；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11.4供应商可根据市场行情及自身情况，自行决定其竞标报价。</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12. 竞标有效期</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12.1 在前附表第5项规定的竞标有效期内，供应商不得要求撤销或修改其响应文件。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竞标有效期的，采购人以书面形式通知所有供应商延长竞标有效期。供应商同意延长的，应相应延长其竞标保证金的有效期，但不得要求或被允许修改或撤销其响应文件；供应商拒绝延长的，其报价失效，但供应商有权收回其竞标保证金。</w:t>
      </w:r>
    </w:p>
    <w:p>
      <w:pPr>
        <w:pStyle w:val="8"/>
        <w:rPr>
          <w:rFonts w:ascii="宋体" w:hAnsi="宋体" w:eastAsia="宋体" w:cs="宋体"/>
          <w:color w:val="auto"/>
          <w:sz w:val="24"/>
          <w:szCs w:val="22"/>
          <w:highlight w:val="none"/>
        </w:rPr>
      </w:pPr>
      <w:r>
        <w:rPr>
          <w:rFonts w:hint="eastAsia" w:ascii="宋体" w:hAnsi="宋体" w:eastAsia="宋体" w:cs="宋体"/>
          <w:b/>
          <w:color w:val="auto"/>
          <w:sz w:val="24"/>
          <w:highlight w:val="none"/>
        </w:rPr>
        <w:t>13. 竞标保证金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无</w:t>
      </w:r>
      <w:r>
        <w:rPr>
          <w:rFonts w:hint="eastAsia" w:ascii="宋体" w:hAnsi="宋体" w:eastAsia="宋体" w:cs="宋体"/>
          <w:color w:val="auto"/>
          <w:sz w:val="24"/>
          <w:szCs w:val="22"/>
          <w:highlight w:val="none"/>
        </w:rPr>
        <w:t xml:space="preserve">   </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14.1 响应文件应按第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章“响应文件格式”进行编写，如有必要，可以增加附页，作为响应文件的组成部分。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14.2 响应文件应当对竞争性谈判文件有关服务期、竞标有效期、质量要求、技术标准、采购范围等实质性内容作出响应。</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14.3 响应文件应使用不能擦去的墨水书写或打印并加盖单位章，竞争性谈判文件中要求供应商的法定代表人或其委托代理人签字的项目须按要求签字确认。委托代理人签字的，响应文件应附法定代表人签字署名的授权委托书。响应文件应无涂改、行间插字或删除，如果出现上述情况，改动之处应加盖单位章或由供应商的法定代表人或其授权的代理人签字确认。</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14.4 响应文件正本一份，副本份数见前附表第7项要求。正本和副本的封面上应清楚地标记“正本”或“副本”的字样。当副本和正本不一致时，以正本为准。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14.5响应文件的正本与副本应分别装订成册，并编制目录和页码，要求装订标准规范。</w:t>
      </w:r>
    </w:p>
    <w:p>
      <w:pPr>
        <w:spacing w:line="380" w:lineRule="exact"/>
        <w:rPr>
          <w:rFonts w:ascii="宋体" w:hAnsi="宋体" w:eastAsia="宋体" w:cs="宋体"/>
          <w:color w:val="auto"/>
          <w:sz w:val="24"/>
          <w:highlight w:val="none"/>
        </w:rPr>
      </w:pPr>
    </w:p>
    <w:p>
      <w:pPr>
        <w:keepNext/>
        <w:keepLines/>
        <w:spacing w:line="380" w:lineRule="exact"/>
        <w:jc w:val="center"/>
        <w:rPr>
          <w:rFonts w:hint="eastAsia" w:ascii="宋体" w:hAnsi="宋体" w:eastAsia="宋体" w:cs="宋体"/>
          <w:b/>
          <w:color w:val="auto"/>
          <w:sz w:val="28"/>
          <w:highlight w:val="none"/>
        </w:rPr>
      </w:pPr>
    </w:p>
    <w:p>
      <w:pPr>
        <w:keepNext/>
        <w:keepLines/>
        <w:spacing w:line="380" w:lineRule="exact"/>
        <w:jc w:val="center"/>
        <w:rPr>
          <w:rFonts w:hint="eastAsia" w:ascii="宋体" w:hAnsi="宋体" w:eastAsia="宋体" w:cs="宋体"/>
          <w:b/>
          <w:color w:val="auto"/>
          <w:sz w:val="28"/>
          <w:highlight w:val="none"/>
        </w:rPr>
      </w:pPr>
    </w:p>
    <w:p>
      <w:pPr>
        <w:keepNext/>
        <w:keepLines/>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8"/>
          <w:highlight w:val="none"/>
        </w:rPr>
        <w:t>四、竞标</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pPr>
        <w:autoSpaceDE w:val="0"/>
        <w:autoSpaceDN w:val="0"/>
        <w:spacing w:line="360" w:lineRule="exact"/>
        <w:ind w:firstLine="488"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份）应密封在一个响应文件袋密封袋中，并在包装封口处盖密封章或供应商公章。</w:t>
      </w:r>
    </w:p>
    <w:p>
      <w:pPr>
        <w:autoSpaceDE w:val="0"/>
        <w:autoSpaceDN w:val="0"/>
        <w:spacing w:line="36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15.2在响应文件密封袋上应写明：</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项目编号：</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2"/>
          <w:sz w:val="24"/>
          <w:highlight w:val="none"/>
          <w:lang w:val="en-US" w:eastAsia="zh-CN"/>
        </w:rPr>
        <w:t>人</w:t>
      </w:r>
      <w:r>
        <w:rPr>
          <w:rFonts w:hint="eastAsia" w:ascii="宋体" w:hAnsi="宋体" w:eastAsia="宋体" w:cs="宋体"/>
          <w:color w:val="auto"/>
          <w:spacing w:val="2"/>
          <w:sz w:val="24"/>
          <w:highlight w:val="none"/>
        </w:rPr>
        <w:t>机构名称：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注：在开标时间以前不得开封。</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未按本章第15.1条或15.2条要求密封和加写标记，作无效竞标处理。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16. 响应文件的递交</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供应商应在前附表第8项规定的竞标截止时间前递交响应文件。凡逾期送达的响应文件代理机构将不予接收。</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供应商按前附表第9项规定的地点递交响应文件，并由采购人签收</w:t>
      </w:r>
      <w:r>
        <w:rPr>
          <w:rFonts w:hint="eastAsia" w:ascii="宋体" w:hAnsi="宋体" w:eastAsia="宋体" w:cs="宋体"/>
          <w:bCs/>
          <w:color w:val="auto"/>
          <w:spacing w:val="2"/>
          <w:sz w:val="24"/>
          <w:highlight w:val="none"/>
        </w:rPr>
        <w:t>。</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除竞争性谈判文件另有规定外，供应商所递交的响应文件不予退还。</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未送达指定地点的响应文件，作无效竞标处理。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17. 响应文件的修改和撤回</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在前附表第8项规定的竞标截止时间前，供应商可以修改或撤回已递交的响应文件，但应以书面形式通知采购</w:t>
      </w:r>
      <w:r>
        <w:rPr>
          <w:rFonts w:hint="eastAsia" w:ascii="宋体" w:hAnsi="宋体" w:eastAsia="宋体" w:cs="宋体"/>
          <w:color w:val="auto"/>
          <w:spacing w:val="2"/>
          <w:sz w:val="24"/>
          <w:highlight w:val="none"/>
          <w:lang w:val="en-US" w:eastAsia="zh-CN"/>
        </w:rPr>
        <w:t>人</w:t>
      </w:r>
      <w:r>
        <w:rPr>
          <w:rFonts w:hint="eastAsia" w:ascii="宋体" w:hAnsi="宋体" w:eastAsia="宋体" w:cs="宋体"/>
          <w:color w:val="auto"/>
          <w:spacing w:val="2"/>
          <w:sz w:val="24"/>
          <w:highlight w:val="none"/>
        </w:rPr>
        <w:t>。</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供应商修改或撤回已递交响应文件的书面通知应按照本章第15.3项的要求签字或盖章。采购</w:t>
      </w:r>
      <w:r>
        <w:rPr>
          <w:rFonts w:hint="eastAsia" w:ascii="宋体" w:hAnsi="宋体" w:eastAsia="宋体" w:cs="宋体"/>
          <w:color w:val="auto"/>
          <w:spacing w:val="2"/>
          <w:sz w:val="24"/>
          <w:highlight w:val="none"/>
          <w:lang w:val="en-US" w:eastAsia="zh-CN"/>
        </w:rPr>
        <w:t>人</w:t>
      </w:r>
      <w:r>
        <w:rPr>
          <w:rFonts w:hint="eastAsia" w:ascii="宋体" w:hAnsi="宋体" w:eastAsia="宋体" w:cs="宋体"/>
          <w:color w:val="auto"/>
          <w:spacing w:val="2"/>
          <w:sz w:val="24"/>
          <w:highlight w:val="none"/>
        </w:rPr>
        <w:t>收到书面通知后，向供应商出具签收凭证。</w:t>
      </w:r>
    </w:p>
    <w:p>
      <w:pPr>
        <w:spacing w:line="440" w:lineRule="exact"/>
        <w:ind w:firstLine="488"/>
        <w:rPr>
          <w:rFonts w:ascii="宋体" w:hAnsi="宋体" w:eastAsia="宋体" w:cs="宋体"/>
          <w:color w:val="auto"/>
          <w:sz w:val="24"/>
          <w:highlight w:val="none"/>
        </w:rPr>
      </w:pPr>
      <w:r>
        <w:rPr>
          <w:rFonts w:hint="eastAsia" w:ascii="宋体" w:hAnsi="宋体" w:eastAsia="宋体" w:cs="宋体"/>
          <w:color w:val="auto"/>
          <w:spacing w:val="2"/>
          <w:sz w:val="24"/>
          <w:highlight w:val="none"/>
        </w:rPr>
        <w:t>17.3 修改的内容为响应文件的组成部分。</w:t>
      </w:r>
    </w:p>
    <w:p>
      <w:pPr>
        <w:rPr>
          <w:rFonts w:ascii="宋体" w:hAnsi="宋体" w:eastAsia="宋体" w:cs="宋体"/>
          <w:color w:val="auto"/>
          <w:highlight w:val="none"/>
        </w:rPr>
      </w:pPr>
    </w:p>
    <w:p>
      <w:pPr>
        <w:spacing w:line="380" w:lineRule="exact"/>
        <w:ind w:firstLine="478" w:firstLineChars="195"/>
        <w:jc w:val="center"/>
        <w:outlineLvl w:val="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五、开标</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18、开标</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18.l</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将在前附表第10项规定的时间和地点组织谈判，参加谈判的法定代表人或其授权委托人必须持有效证件</w:t>
      </w:r>
      <w:r>
        <w:rPr>
          <w:rFonts w:hint="eastAsia" w:ascii="宋体" w:hAnsi="宋体" w:eastAsia="宋体" w:cs="宋体"/>
          <w:b/>
          <w:bCs/>
          <w:color w:val="auto"/>
          <w:sz w:val="24"/>
          <w:szCs w:val="24"/>
          <w:highlight w:val="none"/>
        </w:rPr>
        <w:t>[①法人身份证原件或授权委托书和委托代理人身份证原件；②营业执照复印件]</w:t>
      </w:r>
      <w:r>
        <w:rPr>
          <w:rFonts w:hint="eastAsia" w:ascii="宋体" w:hAnsi="宋体" w:eastAsia="宋体" w:cs="宋体"/>
          <w:color w:val="auto"/>
          <w:sz w:val="24"/>
          <w:szCs w:val="24"/>
          <w:highlight w:val="none"/>
        </w:rPr>
        <w:t>依时到达指定地点等候当面谈判 (上述材料未注明原件的为复印件，所有复印件必须加盖竞标单位公章.)依时到达现场等候参加谈判，并自觉接受核验上述证件。以上要求出示</w:t>
      </w:r>
      <w:r>
        <w:rPr>
          <w:rFonts w:hint="eastAsia" w:ascii="宋体" w:hAnsi="宋体" w:eastAsia="宋体" w:cs="宋体"/>
          <w:color w:val="auto"/>
          <w:spacing w:val="2"/>
          <w:sz w:val="24"/>
          <w:szCs w:val="24"/>
          <w:highlight w:val="none"/>
        </w:rPr>
        <w:t>证明材料如缺项或无效的</w:t>
      </w:r>
      <w:r>
        <w:rPr>
          <w:rFonts w:hint="eastAsia" w:ascii="宋体" w:hAnsi="宋体" w:eastAsia="宋体" w:cs="宋体"/>
          <w:color w:val="auto"/>
          <w:sz w:val="24"/>
          <w:szCs w:val="24"/>
          <w:highlight w:val="none"/>
        </w:rPr>
        <w:t>将视为竞标无效</w:t>
      </w:r>
      <w:r>
        <w:rPr>
          <w:rFonts w:hint="eastAsia" w:ascii="宋体" w:hAnsi="宋体" w:eastAsia="宋体" w:cs="宋体"/>
          <w:color w:val="auto"/>
          <w:spacing w:val="2"/>
          <w:sz w:val="24"/>
          <w:szCs w:val="24"/>
          <w:highlight w:val="none"/>
        </w:rPr>
        <w:t>，该供应商的响应文件当场退回。</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18.2开标会议由采购</w:t>
      </w:r>
      <w:r>
        <w:rPr>
          <w:rFonts w:hint="eastAsia" w:ascii="宋体" w:hAnsi="宋体" w:eastAsia="宋体" w:cs="宋体"/>
          <w:color w:val="auto"/>
          <w:spacing w:val="2"/>
          <w:sz w:val="24"/>
          <w:szCs w:val="24"/>
          <w:highlight w:val="none"/>
          <w:lang w:val="en-US" w:eastAsia="zh-CN"/>
        </w:rPr>
        <w:t>人</w:t>
      </w:r>
      <w:r>
        <w:rPr>
          <w:rFonts w:hint="eastAsia" w:ascii="宋体" w:hAnsi="宋体" w:eastAsia="宋体" w:cs="宋体"/>
          <w:color w:val="auto"/>
          <w:spacing w:val="2"/>
          <w:sz w:val="24"/>
          <w:szCs w:val="24"/>
          <w:highlight w:val="none"/>
        </w:rPr>
        <w:t>组织并主持，在</w:t>
      </w:r>
      <w:r>
        <w:rPr>
          <w:rFonts w:hint="eastAsia" w:ascii="宋体" w:hAnsi="宋体" w:eastAsia="宋体" w:cs="宋体"/>
          <w:color w:val="auto"/>
          <w:spacing w:val="2"/>
          <w:sz w:val="24"/>
          <w:szCs w:val="24"/>
          <w:highlight w:val="none"/>
          <w:u w:val="single"/>
        </w:rPr>
        <w:t>相关监督部门</w:t>
      </w:r>
      <w:r>
        <w:rPr>
          <w:rFonts w:hint="eastAsia" w:ascii="宋体" w:hAnsi="宋体" w:eastAsia="宋体" w:cs="宋体"/>
          <w:color w:val="auto"/>
          <w:spacing w:val="2"/>
          <w:sz w:val="24"/>
          <w:szCs w:val="24"/>
          <w:highlight w:val="none"/>
        </w:rPr>
        <w:t>监督下，对响应文件进行检查，确认它们是否完整，是否按要求提交了竞标保证金，文件签署是否正确，以及是否按本须知编制。但按规定提交了合格撤回通知的响应文件不予开封。</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18.3谈判会议程序</w:t>
      </w:r>
    </w:p>
    <w:p>
      <w:pPr>
        <w:spacing w:line="380" w:lineRule="exact"/>
        <w:ind w:firstLine="468" w:firstLine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18.3.1　</w:t>
      </w:r>
      <w:r>
        <w:rPr>
          <w:rFonts w:hint="eastAsia" w:ascii="宋体" w:hAnsi="宋体" w:eastAsia="宋体" w:cs="宋体"/>
          <w:color w:val="auto"/>
          <w:spacing w:val="2"/>
          <w:sz w:val="24"/>
          <w:szCs w:val="24"/>
          <w:highlight w:val="none"/>
        </w:rPr>
        <w:t>⑴ 采购</w:t>
      </w:r>
      <w:r>
        <w:rPr>
          <w:rFonts w:hint="eastAsia" w:ascii="宋体" w:hAnsi="宋体" w:eastAsia="宋体" w:cs="宋体"/>
          <w:color w:val="auto"/>
          <w:spacing w:val="2"/>
          <w:sz w:val="24"/>
          <w:szCs w:val="24"/>
          <w:highlight w:val="none"/>
          <w:lang w:val="en-US" w:eastAsia="zh-CN"/>
        </w:rPr>
        <w:t>人</w:t>
      </w:r>
      <w:r>
        <w:rPr>
          <w:rFonts w:hint="eastAsia" w:ascii="宋体" w:hAnsi="宋体" w:eastAsia="宋体" w:cs="宋体"/>
          <w:color w:val="auto"/>
          <w:spacing w:val="2"/>
          <w:sz w:val="24"/>
          <w:szCs w:val="24"/>
          <w:highlight w:val="none"/>
        </w:rPr>
        <w:t>主持人宣布会议开始；</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⑵介绍参加谈判会议人员名单；</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⑶</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和监标人员一同检验参加竞标会的各竞标单位法定代表人或其委托代理人（按18.1检查）的资格证件，对无资格证件、证件不齐</w:t>
      </w:r>
      <w:r>
        <w:rPr>
          <w:rFonts w:hint="eastAsia" w:ascii="宋体" w:hAnsi="宋体" w:eastAsia="宋体" w:cs="宋体"/>
          <w:color w:val="auto"/>
          <w:sz w:val="24"/>
          <w:szCs w:val="24"/>
          <w:highlight w:val="none"/>
        </w:rPr>
        <w:t>或无效</w:t>
      </w:r>
      <w:r>
        <w:rPr>
          <w:rFonts w:hint="eastAsia" w:ascii="宋体" w:hAnsi="宋体" w:eastAsia="宋体" w:cs="宋体"/>
          <w:color w:val="auto"/>
          <w:spacing w:val="2"/>
          <w:sz w:val="24"/>
          <w:szCs w:val="24"/>
          <w:highlight w:val="none"/>
        </w:rPr>
        <w:t>的响应文件按无效标处理；</w:t>
      </w:r>
      <w:r>
        <w:rPr>
          <w:rFonts w:hint="eastAsia" w:ascii="宋体" w:hAnsi="宋体" w:eastAsia="宋体" w:cs="宋体"/>
          <w:color w:val="auto"/>
          <w:sz w:val="24"/>
          <w:szCs w:val="24"/>
          <w:highlight w:val="none"/>
        </w:rPr>
        <w:t>其响应文件将于开标结束后予以退还。</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⑷采购</w:t>
      </w:r>
      <w:r>
        <w:rPr>
          <w:rFonts w:hint="eastAsia" w:ascii="宋体" w:hAnsi="宋体" w:eastAsia="宋体" w:cs="宋体"/>
          <w:color w:val="auto"/>
          <w:spacing w:val="2"/>
          <w:sz w:val="24"/>
          <w:szCs w:val="24"/>
          <w:highlight w:val="none"/>
          <w:lang w:val="en-US" w:eastAsia="zh-CN"/>
        </w:rPr>
        <w:t>人</w:t>
      </w:r>
      <w:r>
        <w:rPr>
          <w:rFonts w:hint="eastAsia" w:ascii="宋体" w:hAnsi="宋体" w:eastAsia="宋体" w:cs="宋体"/>
          <w:color w:val="auto"/>
          <w:spacing w:val="2"/>
          <w:sz w:val="24"/>
          <w:szCs w:val="24"/>
          <w:highlight w:val="none"/>
        </w:rPr>
        <w:t>当众宣布核查结果，并宣读有效竞标的供应商名称、竞标保证金以及采购代理机构认为需要宣布的其他内容；</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⑸由各竞标单位代表各自检验自己响应文件密封的完整性；</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⑹由</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 xml:space="preserve">和监标人员一同检验清点核对响应文件密封情况是否完整，文件签署是否正确，并宣读核查结果，请竞标供应商书面确认后退场。竞标供应商退场后移步谈判等候区，等待下一阶段的技术方案谈判及商务谈判。 </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(7)宣布谈判与</w:t>
      </w:r>
      <w:r>
        <w:rPr>
          <w:rFonts w:hint="eastAsia" w:ascii="宋体" w:hAnsi="宋体" w:eastAsia="宋体" w:cs="宋体"/>
          <w:color w:val="auto"/>
          <w:spacing w:val="2"/>
          <w:sz w:val="24"/>
          <w:szCs w:val="24"/>
          <w:highlight w:val="none"/>
          <w:lang w:eastAsia="zh-CN"/>
        </w:rPr>
        <w:t>评审</w:t>
      </w:r>
      <w:r>
        <w:rPr>
          <w:rFonts w:hint="eastAsia" w:ascii="宋体" w:hAnsi="宋体" w:eastAsia="宋体" w:cs="宋体"/>
          <w:color w:val="auto"/>
          <w:spacing w:val="2"/>
          <w:sz w:val="24"/>
          <w:szCs w:val="24"/>
          <w:highlight w:val="none"/>
        </w:rPr>
        <w:t>期间的有关事项；</w:t>
      </w:r>
    </w:p>
    <w:p>
      <w:pPr>
        <w:spacing w:line="360" w:lineRule="auto"/>
        <w:ind w:firstLine="488"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（8）开标会议结束；</w:t>
      </w:r>
    </w:p>
    <w:p>
      <w:pPr>
        <w:spacing w:line="360" w:lineRule="auto"/>
        <w:ind w:firstLine="480" w:firstLineChars="200"/>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18.3.2</w:t>
      </w:r>
      <w:r>
        <w:rPr>
          <w:rFonts w:hint="eastAsia" w:ascii="宋体" w:hAnsi="宋体" w:eastAsia="宋体" w:cs="宋体"/>
          <w:color w:val="auto"/>
          <w:spacing w:val="2"/>
          <w:sz w:val="24"/>
          <w:szCs w:val="24"/>
          <w:highlight w:val="none"/>
        </w:rPr>
        <w:t>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①出席评审的有关人员为谈判小组成员。竞标单位在谈判期间提交的密封的所有响应文件须经谈判小组成员和监督人员同时验证后方能拆封，任何个人不得私自拆封。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②谈判时，竞标单位的法人代表或委托代理人必须参加谈判。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谈判小组通过对各竞标单位的响应文件进行初步审查后，谈判双方以竞争性谈判条件为依据，由竞标单位对提交的响应文件及服务承诺等做出陈述。谈判小组将根据竞标单位的响应文件、陈述尚未明晰或需要进一步了解的细节列出与各竞标单位谈判的提纲并向竞标单位询问，竞标单位应依次对谈判小组提出的问题做出答复，必要时要求竞标单位对其竞标内容、补充方案或修改意见做出书面澄清。同时</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工作人员对谈判内容做好记录并将此记录交由谈判小组及竞标单位核实，核实无误后由竞标单位代表签字作为书面应答文件（将作为合同的组成部分）。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④二次报价：</w:t>
      </w:r>
      <w:r>
        <w:rPr>
          <w:rFonts w:hint="eastAsia" w:ascii="宋体" w:hAnsi="宋体" w:eastAsia="宋体" w:cs="宋体"/>
          <w:bCs/>
          <w:color w:val="auto"/>
          <w:sz w:val="24"/>
          <w:szCs w:val="24"/>
          <w:highlight w:val="none"/>
        </w:rPr>
        <w:t>谈判小组应在商务、技术和服务条件谈判后，邀请能满足采购文件所规定实质性要求的质量和服务的所有供应商进行二次报价。</w:t>
      </w:r>
    </w:p>
    <w:p>
      <w:pPr>
        <w:spacing w:line="380" w:lineRule="exact"/>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18.4谈判原则</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18.4.1、必须公平、公正、客观，不带任何倾向性和启发性；</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18.4.2、谈判人员不得向外界透露任何与谈判有关的内容； </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18.4.3、任何单位和个人不得干扰、影响谈判的正常进行；</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18.4.4、谈判人员不得私下与竞标单位接触。</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   响应文件有下列情况之一者将视为竞标无效：</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.5.1 响应文件未按规定封装、密封；</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.5.2 竞标单位法定代表人或其委托代理人未签字；</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.5.3 竞标单位未加盖单位公章；</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.5.4 未按规定的格式填写或者字迹模糊、辨认不清；</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.5.5 供应商未按竞争性谈判文件的规定递交竞标保证金的；</w:t>
      </w:r>
    </w:p>
    <w:p>
      <w:pPr>
        <w:spacing w:line="380" w:lineRule="exact"/>
        <w:ind w:left="908" w:leftChars="200" w:hanging="468" w:hanging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.5.6 供应商法定代表人或授权代表未按时参加开标会议的；</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.5.7 竞标截止时间以后送达的响应文件；</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.5.8 响应文件内容不真实；</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18.5.9 </w:t>
      </w:r>
      <w:r>
        <w:rPr>
          <w:rFonts w:hint="eastAsia" w:ascii="宋体" w:hAnsi="宋体" w:eastAsia="宋体" w:cs="宋体"/>
          <w:color w:val="auto"/>
          <w:spacing w:val="2"/>
          <w:sz w:val="24"/>
          <w:szCs w:val="24"/>
          <w:highlight w:val="none"/>
        </w:rPr>
        <w:t>响应文件不满足供应商最低资质等级和</w:t>
      </w:r>
      <w:r>
        <w:rPr>
          <w:rFonts w:hint="eastAsia" w:ascii="宋体" w:hAnsi="宋体" w:eastAsia="宋体" w:cs="宋体"/>
          <w:color w:val="auto"/>
          <w:sz w:val="24"/>
          <w:szCs w:val="24"/>
          <w:highlight w:val="none"/>
        </w:rPr>
        <w:t>营业执照要求。</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18.5.10供应商营业执照等资格文件不符合要求及复印件未加盖供应商公章的。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18.5.11超出采购控制价的。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18.5.12不符合法律法规规定的及竞争性谈判文件其它实质性内容的。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18.6至竞标截止时间止，递交响应文件的竞标单位不足三家时，本项目不予开标作废标处理，需要采取其他方式采购的，应当在采购活动开始前获得设区的市、自治州以上人民政府采购监督管理部门或者政府有关部门批准。</w:t>
      </w:r>
    </w:p>
    <w:p>
      <w:pPr>
        <w:spacing w:line="380" w:lineRule="exact"/>
        <w:ind w:firstLine="468" w:firstLineChars="195"/>
        <w:jc w:val="center"/>
        <w:outlineLvl w:val="2"/>
        <w:rPr>
          <w:rFonts w:ascii="宋体" w:hAnsi="宋体" w:eastAsia="宋体" w:cs="宋体"/>
          <w:color w:val="auto"/>
          <w:sz w:val="24"/>
          <w:szCs w:val="24"/>
          <w:highlight w:val="none"/>
        </w:rPr>
      </w:pPr>
    </w:p>
    <w:p>
      <w:pPr>
        <w:spacing w:line="380" w:lineRule="exact"/>
        <w:ind w:firstLine="470" w:firstLineChars="195"/>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  审</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19、评审内容的保密</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进入评审后，直到宣布授予成交人合同为止，凡属于审查、澄清、评价和比较竞标的有关资料及有关授予合同的信息，都不应向供应商或与评审无关的其他人泄露。</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在响应文件的审查、澄清、评价和比较以及授予合同的过程中，供应商对采购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和谈判小组成员施加影响的任何行为，都将导致被取消竞标资格。</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20、资格审查</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20.1本项目资格审查采用资格后审，参加本次竞标的单位均要通过资格审查才能获得竞标资格。</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20.2资格审查内容为：</w:t>
      </w:r>
      <w:r>
        <w:rPr>
          <w:rFonts w:hint="eastAsia" w:ascii="宋体" w:hAnsi="宋体" w:eastAsia="宋体" w:cs="宋体"/>
          <w:color w:val="auto"/>
          <w:spacing w:val="2"/>
          <w:sz w:val="24"/>
          <w:szCs w:val="24"/>
          <w:highlight w:val="none"/>
        </w:rPr>
        <w:t>按10.3条款资格审查部分内容审查，要求资料齐全和有效</w:t>
      </w:r>
      <w:r>
        <w:rPr>
          <w:rFonts w:hint="eastAsia" w:ascii="宋体" w:hAnsi="宋体" w:eastAsia="宋体" w:cs="宋体"/>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21、响应文件的符合性鉴定</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在谈判之后详细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之前，谈判小组将首先与供应商就响应文件中不清楚的内容进行谈判及澄清，然后将依据谈判及澄清的内容审定每份响应文件是否在实质上响应了竞争性谈判文件的要求。</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就本条款而言，实质上响应要求的响应文件，应该与竞争性谈判文件的所规定资格条件、技术参数产生实质性影响；或者对合同中规定的采购代理机构的权力及供应商的责任造成实质性限制。</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22、响应文件的澄清</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为了有助于响应文件的审查、评价和比较，谈判小组可以个别地要求供应商澄清其响应文件。有关澄清的要求与答复，应以书面形式进行。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23、错误的修正</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23.1谈判小组将对确定为实质上响应竞争性谈判文件要求的响应文件进行校核，看其是否有计算上或累计上的算术错误，修正错误的原则如下：</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23.1.1 如果用阿拉伯数字表示的数额与用汉语文字表示的数额（人民币大写）不一致时，以汉语文字数额（人民币大写）为准。</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23.1.2 当单价与合价之间不一致时，以标出的单价为准。除非谈判小组或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小组认为有明显的小数点错位，此时应以标出的合价为准，并修改单价。</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按上述修改错误的方法，调整竞标书中的竞标报价。经供应商确认同意后，调整后的报价对供应商起约束作用。如果供应商不接受修正后的竞标报价则其竞标将被拒绝，视为无效竞标。</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 响应文件正本与响应文件副本不符的以正本为准。</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24、响应文件的评价与比较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24.1谈判小组将仅对响应文件组成第10条确定为实质上响应竞争性谈判文件要求（即符合性鉴定合格）的响应文件进行评价与比较。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谈判小组将依照响应文件组成第10条对通过符合性鉴定的响应文件的竞标报价进行校核与修正。</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25、评审办法 </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25.1、评审原则</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(1)谈判小组构成：</w:t>
      </w:r>
      <w:r>
        <w:rPr>
          <w:rFonts w:hint="eastAsia" w:ascii="宋体" w:hAnsi="宋体" w:eastAsia="宋体" w:cs="宋体"/>
          <w:bCs/>
          <w:color w:val="auto"/>
          <w:sz w:val="24"/>
          <w:szCs w:val="24"/>
          <w:highlight w:val="none"/>
        </w:rPr>
        <w:t>本采购项目</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委员会由采购人代表和评审专家共3人以上单数组成，其中评审专家人数不得少于</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委员会成员总数的2/3。</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(2)评审依据：谈判小组将以竞争性谈判文件和响应文件为评定依据进行评审。</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25.2、评审方法</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（1）初步评审：谈判小组应当按照客观、公正、审慎的原则，根据采购文件规定的评审程序、评审方法和评审标准进行独立</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谈判小组对商务文件进行符合性鉴定，对实质上不响应竞争性谈判文件要求的竞标予以拒绝；谈判小组对竞标单位资格文件进行资格鉴定，对资格审查不响应竞争性谈判文件要求的竞标予以拒绝，对技术标进行评审，技术标评审按可行与不可行来评定，对技术标不可行的竞标予以拒绝。未实质性响应谈判文件的响应文件按无效处理，谈判小组应当告知有关供应商。谈判小组对响应文件的有效性、完整性和响应程度进行审查，记录有关情况，并拟定谈判策略，提出谈判问题。项目审查期间，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事务由依法组建的谈判小组负责,采购代理机构全程回避。</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正式谈判：谈判小组所有成员根据谈判策略，集中与通过初步评审的供应商分别进行谈判，并给予所有参加谈判的供应商平等的谈判机会，分别与每个供应商就技术、报价组成和合同条款等进行充分的谈判，确定供应商所提供的产品质量和服务是否能满足采购文件规定的实质性要求。谈判期间，相关监督部门对谈判过程全程进行监督，具体谈判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委员会负责,采购代理机构进行相关谈判记录。现场监督人员及采购代理机构的工作人员应当遵守</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现场工作纪律，不能出现越权行使</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委员会的权利，代替评委进行</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工作发表任何倾向性意见、向其他专家评委明示或者暗示自己的意见及其他干扰</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工作的行为，及政府采购法相关法律法规禁止出现的行为。</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二次报价邀请：谈判小组应在商务、技术和服务条件谈判后，邀请能满足采购文件所规定实质性要求的质量和服务的所有供应商进行二次报价，并告知供应商二次报价截止时间及二次报价文件编写有关规范。原则上，二次报价为最终报价。</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25.3、在评审过程中，商务标评委发现供应商的最后报价明显低于其他供应商的最后报价或者明显低于本项目采购控制价，使得其竞标可能低于其个别成本的，应当要求供应商作出书面说明并提供相关证明材料；供应商不能合理说明或者不能提供相关证明材料的，由商务标评委认定该竞标以低于其企业成本报价，其竞标作废标处理。</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25.4、成交候选人推荐原则</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（1）谈判小组应按照客观、公正、审慎的原则，根据竞争性谈判文件规定的评审程序、评审方法和评审标准进行独立评审。评审委员会应根据质量和服务均能满足采购文件实质性响应要求的前提下，按</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报价由低到高提出3名以上成交候选供应商，并编写评审报告。</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（2）现场校对及提醒。</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工作人员要对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数据进行校对、核对，对资格性审查认定错误的，分值汇总计算错误的，分项评分超出评分标准范围的，对客观评分因素评分不一致的，畸高、畸低的重大差异评分的可以提示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委员会复核或书面说明理由。应提醒</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委员会对评分汇总情况进行复核，特别是对排名第一的、报价最低的、投标或相应文件被认定为无效的情形，应对其商务、服务、技术及价格等各方面情况进行重点复核。</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竞争性谈判过程中出现多家供应商</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价最低且相同时，应组织</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价最低的供应商只对价格重新报价，直至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价最低供应商仅为一家。</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工作由采购</w:t>
      </w:r>
      <w:r>
        <w:rPr>
          <w:rFonts w:hint="eastAsia" w:ascii="宋体" w:hAnsi="宋体" w:eastAsia="宋体" w:cs="宋体"/>
          <w:b/>
          <w:bCs/>
          <w:color w:val="auto"/>
          <w:sz w:val="24"/>
          <w:szCs w:val="24"/>
          <w:highlight w:val="none"/>
          <w:lang w:val="en-US" w:eastAsia="zh-CN"/>
        </w:rPr>
        <w:t>办</w:t>
      </w:r>
      <w:r>
        <w:rPr>
          <w:rFonts w:hint="eastAsia" w:ascii="宋体" w:hAnsi="宋体" w:eastAsia="宋体" w:cs="宋体"/>
          <w:b/>
          <w:bCs/>
          <w:color w:val="auto"/>
          <w:sz w:val="24"/>
          <w:szCs w:val="24"/>
          <w:highlight w:val="none"/>
        </w:rPr>
        <w:t>负责组织，具体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委员会负责。根据</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委员会的要求组织供应商澄清，</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委员会对投标文件中含义不明确、同类问题表述不一致或者有明显文字和计算错误的内容，可以书面形式要求投标供应商作出必要的澄清、说明或者纠正。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Theme="minorEastAsia" w:hAnsiTheme="minorEastAsia" w:eastAsiaTheme="minorEastAsia" w:cstheme="minorEastAsia"/>
          <w:b/>
          <w:bCs/>
          <w:i w:val="0"/>
          <w:iCs w:val="0"/>
          <w:caps w:val="0"/>
          <w:color w:val="1F2329"/>
          <w:spacing w:val="0"/>
          <w:sz w:val="24"/>
          <w:szCs w:val="24"/>
          <w:shd w:val="clear" w:color="auto" w:fill="auto"/>
        </w:rPr>
      </w:pPr>
      <w:r>
        <w:rPr>
          <w:rFonts w:hint="eastAsia" w:ascii="宋体" w:hAnsi="宋体" w:eastAsia="宋体" w:cs="宋体"/>
          <w:b/>
          <w:bCs/>
          <w:color w:val="auto"/>
          <w:sz w:val="24"/>
          <w:szCs w:val="24"/>
          <w:highlight w:val="none"/>
        </w:rPr>
        <w:t>25.5本项目是以采购预算价为最高限价，当供应商的最终竞标报价超出采购预算价时，采购人不能支付的，谈判小组对其响应文件将不予以评审。</w:t>
      </w:r>
      <w:r>
        <w:rPr>
          <w:rFonts w:hint="eastAsia" w:ascii="宋体" w:hAnsi="宋体" w:eastAsia="宋体" w:cs="宋体"/>
          <w:b/>
          <w:color w:val="auto"/>
          <w:sz w:val="24"/>
          <w:szCs w:val="24"/>
          <w:highlight w:val="none"/>
        </w:rPr>
        <w:t>本项目采购预算价为：</w:t>
      </w:r>
      <w:r>
        <w:rPr>
          <w:rFonts w:hint="eastAsia" w:ascii="宋体" w:hAnsi="宋体" w:eastAsia="宋体" w:cs="宋体"/>
          <w:b/>
          <w:color w:val="auto"/>
          <w:sz w:val="24"/>
          <w:szCs w:val="24"/>
          <w:highlight w:val="none"/>
          <w:lang w:val="en-US" w:eastAsia="zh-CN"/>
        </w:rPr>
        <w:t>分标</w:t>
      </w:r>
      <w:r>
        <w:rPr>
          <w:rFonts w:hint="eastAsia" w:asciiTheme="minorEastAsia" w:hAnsiTheme="minorEastAsia" w:eastAsiaTheme="minorEastAsia" w:cstheme="minorEastAsia"/>
          <w:b/>
          <w:bCs/>
          <w:i w:val="0"/>
          <w:iCs w:val="0"/>
          <w:caps w:val="0"/>
          <w:color w:val="1F2329"/>
          <w:spacing w:val="0"/>
          <w:sz w:val="24"/>
          <w:szCs w:val="24"/>
          <w:shd w:val="clear" w:color="auto" w:fill="auto"/>
        </w:rPr>
        <w:t xml:space="preserve"> 1（电动碳纤维骨科牵引手术床</w:t>
      </w:r>
      <w:r>
        <w:rPr>
          <w:rFonts w:hint="eastAsia" w:asciiTheme="minorEastAsia" w:hAnsiTheme="minorEastAsia" w:eastAsiaTheme="minorEastAsia" w:cstheme="minorEastAsia"/>
          <w:b/>
          <w:bCs/>
          <w:i w:val="0"/>
          <w:iCs w:val="0"/>
          <w:caps w:val="0"/>
          <w:color w:val="1F2329"/>
          <w:spacing w:val="0"/>
          <w:sz w:val="24"/>
          <w:szCs w:val="24"/>
          <w:shd w:val="clear" w:color="auto" w:fill="auto"/>
          <w:lang w:eastAsia="zh-CN"/>
        </w:rPr>
        <w:t>，</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最高限价25</w:t>
      </w:r>
      <w:r>
        <w:rPr>
          <w:rFonts w:hint="eastAsia" w:asciiTheme="minorEastAsia" w:hAnsiTheme="minorEastAsia" w:eastAsiaTheme="minorEastAsia" w:cstheme="minorEastAsia"/>
          <w:b/>
          <w:bCs/>
          <w:i w:val="0"/>
          <w:iCs w:val="0"/>
          <w:caps w:val="0"/>
          <w:color w:val="1F2329"/>
          <w:spacing w:val="0"/>
          <w:sz w:val="24"/>
          <w:szCs w:val="24"/>
          <w:shd w:val="clear" w:color="auto" w:fill="auto"/>
        </w:rPr>
        <w:t>万元）：</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分标</w:t>
      </w:r>
      <w:r>
        <w:rPr>
          <w:rFonts w:hint="eastAsia" w:asciiTheme="minorEastAsia" w:hAnsiTheme="minorEastAsia" w:eastAsiaTheme="minorEastAsia" w:cstheme="minorEastAsia"/>
          <w:b/>
          <w:bCs/>
          <w:i w:val="0"/>
          <w:iCs w:val="0"/>
          <w:caps w:val="0"/>
          <w:color w:val="1F2329"/>
          <w:spacing w:val="0"/>
          <w:sz w:val="24"/>
          <w:szCs w:val="24"/>
          <w:shd w:val="clear" w:color="auto" w:fill="auto"/>
        </w:rPr>
        <w:t xml:space="preserve"> 2（自动胸外按压仪</w:t>
      </w:r>
      <w:r>
        <w:rPr>
          <w:rFonts w:hint="eastAsia" w:asciiTheme="minorEastAsia" w:hAnsiTheme="minorEastAsia" w:eastAsiaTheme="minorEastAsia" w:cstheme="minorEastAsia"/>
          <w:b/>
          <w:bCs/>
          <w:i w:val="0"/>
          <w:iCs w:val="0"/>
          <w:caps w:val="0"/>
          <w:color w:val="1F2329"/>
          <w:spacing w:val="0"/>
          <w:sz w:val="24"/>
          <w:szCs w:val="24"/>
          <w:shd w:val="clear" w:color="auto" w:fill="auto"/>
          <w:lang w:eastAsia="zh-CN"/>
        </w:rPr>
        <w:t>，</w:t>
      </w:r>
      <w:r>
        <w:rPr>
          <w:rFonts w:hint="eastAsia" w:asciiTheme="minorEastAsia" w:hAnsiTheme="minorEastAsia" w:eastAsiaTheme="minorEastAsia" w:cstheme="minorEastAsia"/>
          <w:b/>
          <w:bCs/>
          <w:i w:val="0"/>
          <w:iCs w:val="0"/>
          <w:caps w:val="0"/>
          <w:color w:val="1F2329"/>
          <w:spacing w:val="0"/>
          <w:sz w:val="24"/>
          <w:szCs w:val="24"/>
          <w:shd w:val="clear" w:color="auto" w:fill="auto"/>
          <w:lang w:val="en-US" w:eastAsia="zh-CN"/>
        </w:rPr>
        <w:t>最高限价15万元</w:t>
      </w:r>
      <w:r>
        <w:rPr>
          <w:rFonts w:hint="eastAsia" w:asciiTheme="minorEastAsia" w:hAnsiTheme="minorEastAsia" w:eastAsiaTheme="minorEastAsia" w:cstheme="minorEastAsia"/>
          <w:b/>
          <w:bCs/>
          <w:i w:val="0"/>
          <w:iCs w:val="0"/>
          <w:caps w:val="0"/>
          <w:color w:val="1F2329"/>
          <w:spacing w:val="0"/>
          <w:sz w:val="24"/>
          <w:szCs w:val="24"/>
          <w:shd w:val="clear" w:color="auto" w:fill="auto"/>
        </w:rPr>
        <w:t>）</w:t>
      </w:r>
      <w:r>
        <w:rPr>
          <w:rFonts w:hint="eastAsia" w:asciiTheme="minorEastAsia" w:hAnsiTheme="minorEastAsia" w:eastAsiaTheme="minorEastAsia" w:cstheme="minorEastAsia"/>
          <w:b/>
          <w:bCs/>
          <w:i w:val="0"/>
          <w:iCs w:val="0"/>
          <w:caps w:val="0"/>
          <w:color w:val="1F2329"/>
          <w:spacing w:val="0"/>
          <w:sz w:val="24"/>
          <w:szCs w:val="24"/>
          <w:shd w:val="clear" w:color="auto" w:fill="auto"/>
          <w:lang w:eastAsia="zh-CN"/>
        </w:rPr>
        <w:t>，</w:t>
      </w:r>
      <w:r>
        <w:rPr>
          <w:rFonts w:hint="eastAsia" w:asciiTheme="minorEastAsia" w:hAnsiTheme="minorEastAsia" w:eastAsiaTheme="minorEastAsia" w:cstheme="minorEastAsia"/>
          <w:b/>
          <w:bCs/>
          <w:i w:val="0"/>
          <w:iCs w:val="0"/>
          <w:caps w:val="0"/>
          <w:color w:val="1F2329"/>
          <w:spacing w:val="0"/>
          <w:kern w:val="0"/>
          <w:sz w:val="24"/>
          <w:szCs w:val="24"/>
          <w:shd w:val="clear" w:color="auto" w:fill="auto"/>
          <w:lang w:val="en-US" w:eastAsia="zh-CN" w:bidi="ar"/>
        </w:rPr>
        <w:t>报价超过对应包段预算金额的，视为该包段无效报价​</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26. </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内容的保密</w:t>
      </w:r>
    </w:p>
    <w:p>
      <w:pPr>
        <w:spacing w:line="440" w:lineRule="exact"/>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.1 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活动中，凡属于审查、澄清、评价和比较竞标的有关资料及有关授予合同的信息，都不应向供应商或与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无关的其他人泄露。</w:t>
      </w:r>
    </w:p>
    <w:p>
      <w:pPr>
        <w:spacing w:line="440" w:lineRule="exact"/>
        <w:ind w:firstLine="36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.2 在响应文件的审查、澄清、评价和比较以及授予合同的过程中，供应商对采购人和谈判小组成员施加影响的任何行为，都将导致被取消竞标资格。</w:t>
      </w:r>
    </w:p>
    <w:p>
      <w:pPr>
        <w:pStyle w:val="12"/>
        <w:spacing w:line="400" w:lineRule="exact"/>
        <w:outlineLvl w:val="2"/>
        <w:rPr>
          <w:rFonts w:hAnsi="宋体" w:cs="宋体"/>
          <w:b/>
          <w:color w:val="auto"/>
          <w:sz w:val="24"/>
          <w:szCs w:val="24"/>
          <w:highlight w:val="none"/>
        </w:rPr>
      </w:pPr>
      <w:bookmarkStart w:id="11" w:name="_Toc300676150"/>
      <w:bookmarkStart w:id="12" w:name="_Toc156106957"/>
      <w:bookmarkStart w:id="13" w:name="_Toc300675940"/>
      <w:r>
        <w:rPr>
          <w:rFonts w:hint="eastAsia" w:hAnsi="宋体" w:cs="宋体"/>
          <w:b/>
          <w:color w:val="auto"/>
          <w:sz w:val="24"/>
          <w:szCs w:val="24"/>
          <w:highlight w:val="none"/>
        </w:rPr>
        <w:t>27.无效的</w:t>
      </w:r>
      <w:bookmarkEnd w:id="11"/>
      <w:bookmarkEnd w:id="12"/>
      <w:bookmarkEnd w:id="13"/>
      <w:r>
        <w:rPr>
          <w:rFonts w:hint="eastAsia" w:hAnsi="宋体" w:cs="宋体"/>
          <w:b/>
          <w:color w:val="auto"/>
          <w:sz w:val="24"/>
          <w:szCs w:val="24"/>
          <w:highlight w:val="none"/>
        </w:rPr>
        <w:t>响应文件</w:t>
      </w:r>
    </w:p>
    <w:p>
      <w:pPr>
        <w:pStyle w:val="12"/>
        <w:spacing w:line="400" w:lineRule="exact"/>
        <w:ind w:firstLine="420"/>
        <w:rPr>
          <w:rFonts w:hAnsi="宋体" w:cs="宋体"/>
          <w:color w:val="auto"/>
          <w:sz w:val="24"/>
          <w:szCs w:val="24"/>
          <w:highlight w:val="none"/>
        </w:rPr>
      </w:pPr>
      <w:r>
        <w:rPr>
          <w:rFonts w:hint="eastAsia" w:hAnsi="宋体" w:cs="宋体"/>
          <w:color w:val="auto"/>
          <w:sz w:val="24"/>
          <w:szCs w:val="24"/>
          <w:highlight w:val="none"/>
        </w:rPr>
        <w:t>25.1响应文件如出现下列情况之一，将会在</w:t>
      </w:r>
      <w:r>
        <w:rPr>
          <w:rFonts w:hint="eastAsia" w:hAnsi="宋体" w:cs="宋体"/>
          <w:color w:val="auto"/>
          <w:sz w:val="24"/>
          <w:szCs w:val="24"/>
          <w:highlight w:val="none"/>
          <w:lang w:eastAsia="zh-CN"/>
        </w:rPr>
        <w:t>评审</w:t>
      </w:r>
      <w:r>
        <w:rPr>
          <w:rFonts w:hint="eastAsia" w:hAnsi="宋体" w:cs="宋体"/>
          <w:color w:val="auto"/>
          <w:sz w:val="24"/>
          <w:szCs w:val="24"/>
          <w:highlight w:val="none"/>
        </w:rPr>
        <w:t>中按照无效文件处理。</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未按规定缴纳竞标保证金或未交竞标保证金的；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未按照</w:t>
      </w:r>
      <w:r>
        <w:rPr>
          <w:rFonts w:hint="eastAsia" w:hAnsi="宋体" w:cs="宋体"/>
          <w:bCs/>
          <w:color w:val="auto"/>
          <w:sz w:val="24"/>
          <w:szCs w:val="24"/>
          <w:highlight w:val="none"/>
        </w:rPr>
        <w:t>谈判文件</w:t>
      </w:r>
      <w:r>
        <w:rPr>
          <w:rFonts w:hint="eastAsia" w:hAnsi="宋体" w:cs="宋体"/>
          <w:color w:val="auto"/>
          <w:sz w:val="24"/>
          <w:szCs w:val="24"/>
          <w:highlight w:val="none"/>
        </w:rPr>
        <w:t>规定要求密封、签署、盖章的；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不具备</w:t>
      </w:r>
      <w:r>
        <w:rPr>
          <w:rFonts w:hint="eastAsia" w:hAnsi="宋体" w:cs="宋体"/>
          <w:bCs/>
          <w:color w:val="auto"/>
          <w:sz w:val="24"/>
          <w:szCs w:val="24"/>
          <w:highlight w:val="none"/>
        </w:rPr>
        <w:t>谈判文件</w:t>
      </w:r>
      <w:r>
        <w:rPr>
          <w:rFonts w:hint="eastAsia" w:hAnsi="宋体" w:cs="宋体"/>
          <w:color w:val="auto"/>
          <w:sz w:val="24"/>
          <w:szCs w:val="24"/>
          <w:highlight w:val="none"/>
        </w:rPr>
        <w:t>中规定资格要求的；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不符合法律、法规的；</w:t>
      </w:r>
    </w:p>
    <w:p>
      <w:pPr>
        <w:pStyle w:val="12"/>
        <w:numPr>
          <w:ilvl w:val="0"/>
          <w:numId w:val="3"/>
        </w:numPr>
        <w:spacing w:line="400" w:lineRule="exact"/>
        <w:rPr>
          <w:rFonts w:hAnsi="宋体" w:cs="宋体"/>
          <w:color w:val="auto"/>
          <w:sz w:val="24"/>
          <w:szCs w:val="24"/>
          <w:highlight w:val="none"/>
        </w:rPr>
      </w:pPr>
      <w:r>
        <w:rPr>
          <w:rFonts w:hint="eastAsia" w:hAnsi="宋体" w:cs="宋体"/>
          <w:bCs/>
          <w:color w:val="auto"/>
          <w:sz w:val="24"/>
          <w:szCs w:val="24"/>
          <w:highlight w:val="none"/>
        </w:rPr>
        <w:t>供应商的最终报价超过了采购预算的；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不符合</w:t>
      </w:r>
      <w:r>
        <w:rPr>
          <w:rFonts w:hint="eastAsia" w:hAnsi="宋体" w:cs="宋体"/>
          <w:bCs/>
          <w:color w:val="auto"/>
          <w:sz w:val="24"/>
          <w:szCs w:val="24"/>
          <w:highlight w:val="none"/>
        </w:rPr>
        <w:t>谈判文件</w:t>
      </w:r>
      <w:r>
        <w:rPr>
          <w:rFonts w:hint="eastAsia" w:hAnsi="宋体" w:cs="宋体"/>
          <w:color w:val="auto"/>
          <w:sz w:val="24"/>
          <w:szCs w:val="24"/>
          <w:highlight w:val="none"/>
        </w:rPr>
        <w:t>中规定的其它实质性要求并且在谈判规定的时间内无法说明和补充的；</w:t>
      </w:r>
    </w:p>
    <w:p>
      <w:pPr>
        <w:pStyle w:val="12"/>
        <w:numPr>
          <w:ilvl w:val="0"/>
          <w:numId w:val="3"/>
        </w:numPr>
        <w:spacing w:line="400" w:lineRule="exact"/>
        <w:rPr>
          <w:rFonts w:hAnsi="宋体" w:cs="宋体"/>
          <w:color w:val="auto"/>
          <w:sz w:val="24"/>
          <w:szCs w:val="24"/>
          <w:highlight w:val="none"/>
        </w:rPr>
      </w:pPr>
      <w:r>
        <w:rPr>
          <w:rFonts w:hint="eastAsia" w:hAnsi="宋体" w:cs="宋体"/>
          <w:color w:val="auto"/>
          <w:sz w:val="24"/>
          <w:szCs w:val="24"/>
          <w:highlight w:val="none"/>
        </w:rPr>
        <w:t>未按</w:t>
      </w:r>
      <w:r>
        <w:rPr>
          <w:rFonts w:hint="eastAsia" w:hAnsi="宋体" w:cs="宋体"/>
          <w:bCs/>
          <w:color w:val="auto"/>
          <w:sz w:val="24"/>
          <w:szCs w:val="24"/>
          <w:highlight w:val="none"/>
        </w:rPr>
        <w:t>谈判文件</w:t>
      </w:r>
      <w:r>
        <w:rPr>
          <w:rFonts w:hint="eastAsia" w:hAnsi="宋体" w:cs="宋体"/>
          <w:color w:val="auto"/>
          <w:sz w:val="24"/>
          <w:szCs w:val="24"/>
          <w:highlight w:val="none"/>
        </w:rPr>
        <w:t>中提出实质性要求和条件作出完全响应的；</w:t>
      </w:r>
    </w:p>
    <w:p>
      <w:pPr>
        <w:pStyle w:val="12"/>
        <w:numPr>
          <w:ilvl w:val="0"/>
          <w:numId w:val="3"/>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由同一单位或者个人编制；</w:t>
      </w:r>
    </w:p>
    <w:p>
      <w:pPr>
        <w:pStyle w:val="12"/>
        <w:numPr>
          <w:ilvl w:val="0"/>
          <w:numId w:val="3"/>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委托同一单位或者个人办理</w:t>
      </w:r>
      <w:r>
        <w:rPr>
          <w:rFonts w:hint="eastAsia" w:hAnsi="宋体" w:cs="宋体"/>
          <w:color w:val="auto"/>
          <w:sz w:val="24"/>
          <w:szCs w:val="24"/>
          <w:highlight w:val="none"/>
        </w:rPr>
        <w:t>竞标</w:t>
      </w:r>
      <w:r>
        <w:rPr>
          <w:rFonts w:hint="eastAsia" w:hAnsi="宋体" w:cs="宋体"/>
          <w:bCs/>
          <w:color w:val="auto"/>
          <w:sz w:val="24"/>
          <w:szCs w:val="24"/>
          <w:highlight w:val="none"/>
        </w:rPr>
        <w:t>事宜；</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（10）不同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异常一致或者</w:t>
      </w:r>
      <w:r>
        <w:rPr>
          <w:rFonts w:hint="eastAsia" w:hAnsi="宋体" w:cs="宋体"/>
          <w:color w:val="auto"/>
          <w:sz w:val="24"/>
          <w:szCs w:val="24"/>
          <w:highlight w:val="none"/>
        </w:rPr>
        <w:t>竞标</w:t>
      </w:r>
      <w:r>
        <w:rPr>
          <w:rFonts w:hint="eastAsia" w:hAnsi="宋体" w:cs="宋体"/>
          <w:bCs/>
          <w:color w:val="auto"/>
          <w:sz w:val="24"/>
          <w:szCs w:val="24"/>
          <w:highlight w:val="none"/>
        </w:rPr>
        <w:t>报价呈规律性差异；</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（11）不同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相互混装；</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（12）不同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竞标</w:t>
      </w:r>
      <w:r>
        <w:rPr>
          <w:rFonts w:hint="eastAsia" w:hAnsi="宋体" w:cs="宋体"/>
          <w:bCs/>
          <w:color w:val="auto"/>
          <w:sz w:val="24"/>
          <w:szCs w:val="24"/>
          <w:highlight w:val="none"/>
        </w:rPr>
        <w:t>保证金从同一单位或者个人的账户转出。</w:t>
      </w:r>
    </w:p>
    <w:p>
      <w:pPr>
        <w:pStyle w:val="12"/>
        <w:spacing w:line="400" w:lineRule="exact"/>
        <w:outlineLvl w:val="2"/>
        <w:rPr>
          <w:rFonts w:hAnsi="宋体" w:cs="宋体"/>
          <w:b/>
          <w:color w:val="auto"/>
          <w:sz w:val="24"/>
          <w:szCs w:val="24"/>
          <w:highlight w:val="none"/>
        </w:rPr>
      </w:pPr>
      <w:r>
        <w:rPr>
          <w:rFonts w:hint="eastAsia" w:hAnsi="宋体" w:cs="宋体"/>
          <w:b/>
          <w:color w:val="auto"/>
          <w:sz w:val="24"/>
          <w:szCs w:val="24"/>
          <w:highlight w:val="none"/>
        </w:rPr>
        <w:t xml:space="preserve"> </w:t>
      </w:r>
      <w:bookmarkStart w:id="14" w:name="_Toc300675941"/>
      <w:bookmarkStart w:id="15" w:name="_Toc300676151"/>
      <w:bookmarkStart w:id="16" w:name="_Toc156106958"/>
      <w:r>
        <w:rPr>
          <w:rFonts w:hint="eastAsia" w:hAnsi="宋体" w:cs="宋体"/>
          <w:b/>
          <w:color w:val="auto"/>
          <w:sz w:val="24"/>
          <w:szCs w:val="24"/>
          <w:highlight w:val="none"/>
        </w:rPr>
        <w:t>28.废标</w:t>
      </w:r>
      <w:bookmarkEnd w:id="14"/>
      <w:bookmarkEnd w:id="15"/>
      <w:bookmarkEnd w:id="16"/>
    </w:p>
    <w:p>
      <w:pPr>
        <w:pStyle w:val="12"/>
        <w:spacing w:line="400" w:lineRule="exact"/>
        <w:ind w:firstLine="435"/>
        <w:rPr>
          <w:rFonts w:hAnsi="宋体" w:cs="宋体"/>
          <w:bCs/>
          <w:color w:val="auto"/>
          <w:sz w:val="24"/>
          <w:szCs w:val="24"/>
          <w:highlight w:val="none"/>
        </w:rPr>
      </w:pPr>
      <w:r>
        <w:rPr>
          <w:rFonts w:hint="eastAsia" w:hAnsi="宋体" w:cs="宋体"/>
          <w:bCs/>
          <w:color w:val="auto"/>
          <w:sz w:val="24"/>
          <w:szCs w:val="24"/>
          <w:highlight w:val="none"/>
        </w:rPr>
        <w:t>28.1采购项目出现下列情形之一的，采购代理机构将予以废标：</w:t>
      </w:r>
    </w:p>
    <w:p>
      <w:pPr>
        <w:pStyle w:val="12"/>
        <w:spacing w:line="440" w:lineRule="exact"/>
        <w:ind w:firstLine="435"/>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过程中符合专业条件或者对谈判采购文件作实质响应的供应商不足三家的；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（3）供应商的最终报价均超出预算价，采购人不能支付的；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pStyle w:val="12"/>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28.2废标后，采购</w:t>
      </w:r>
      <w:r>
        <w:rPr>
          <w:rFonts w:hint="eastAsia" w:hAnsi="宋体" w:cs="宋体"/>
          <w:bCs/>
          <w:color w:val="auto"/>
          <w:sz w:val="24"/>
          <w:szCs w:val="24"/>
          <w:highlight w:val="none"/>
          <w:lang w:val="en-US" w:eastAsia="zh-CN"/>
        </w:rPr>
        <w:t>人</w:t>
      </w:r>
      <w:r>
        <w:rPr>
          <w:rFonts w:hint="eastAsia" w:hAnsi="宋体" w:cs="宋体"/>
          <w:bCs/>
          <w:color w:val="auto"/>
          <w:sz w:val="24"/>
          <w:szCs w:val="24"/>
          <w:highlight w:val="none"/>
        </w:rPr>
        <w:t>将把废标理由通知所有供应商。</w:t>
      </w:r>
    </w:p>
    <w:p>
      <w:pPr>
        <w:spacing w:line="44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bookmarkStart w:id="17" w:name="_Toc300675943"/>
      <w:bookmarkStart w:id="18" w:name="_Toc300676153"/>
      <w:bookmarkStart w:id="19" w:name="_Toc156106960"/>
      <w:r>
        <w:rPr>
          <w:rFonts w:hint="eastAsia" w:ascii="宋体" w:hAnsi="宋体" w:eastAsia="宋体" w:cs="宋体"/>
          <w:b/>
          <w:color w:val="auto"/>
          <w:sz w:val="28"/>
          <w:highlight w:val="none"/>
        </w:rPr>
        <w:t>七、合同授予</w:t>
      </w:r>
    </w:p>
    <w:bookmarkEnd w:id="17"/>
    <w:bookmarkEnd w:id="18"/>
    <w:bookmarkEnd w:id="19"/>
    <w:p>
      <w:pPr>
        <w:pStyle w:val="12"/>
        <w:spacing w:line="500" w:lineRule="exact"/>
        <w:outlineLvl w:val="2"/>
        <w:rPr>
          <w:rFonts w:hAnsi="宋体" w:cs="宋体"/>
          <w:b/>
          <w:bCs/>
          <w:color w:val="auto"/>
          <w:sz w:val="24"/>
          <w:szCs w:val="24"/>
          <w:highlight w:val="none"/>
        </w:rPr>
      </w:pPr>
      <w:bookmarkStart w:id="20" w:name="_Toc108835668"/>
      <w:bookmarkStart w:id="21" w:name="_Toc30504"/>
      <w:bookmarkStart w:id="22" w:name="_Toc108836079"/>
      <w:bookmarkStart w:id="23" w:name="_Toc300676155"/>
      <w:bookmarkStart w:id="24" w:name="_Toc147250388"/>
      <w:bookmarkStart w:id="25" w:name="_Toc156106962"/>
      <w:bookmarkStart w:id="26" w:name="_Toc147250342"/>
      <w:bookmarkStart w:id="27" w:name="_Toc147250544"/>
      <w:bookmarkStart w:id="28" w:name="_Toc300675945"/>
      <w:r>
        <w:rPr>
          <w:rFonts w:hint="eastAsia" w:hAnsi="宋体" w:cs="宋体"/>
          <w:b/>
          <w:bCs/>
          <w:color w:val="auto"/>
          <w:sz w:val="24"/>
          <w:szCs w:val="24"/>
          <w:highlight w:val="none"/>
        </w:rPr>
        <w:t>29.合同授予标准</w:t>
      </w:r>
      <w:bookmarkEnd w:id="20"/>
      <w:bookmarkEnd w:id="21"/>
      <w:bookmarkEnd w:id="22"/>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36.1采购人将把合同授予成交人。</w:t>
      </w:r>
    </w:p>
    <w:p>
      <w:pPr>
        <w:pStyle w:val="12"/>
        <w:spacing w:line="500" w:lineRule="exact"/>
        <w:outlineLvl w:val="2"/>
        <w:rPr>
          <w:rFonts w:hAnsi="宋体" w:cs="宋体"/>
          <w:b/>
          <w:bCs/>
          <w:color w:val="auto"/>
          <w:sz w:val="24"/>
          <w:szCs w:val="24"/>
          <w:highlight w:val="none"/>
        </w:rPr>
      </w:pPr>
      <w:bookmarkStart w:id="29" w:name="_Toc29776"/>
      <w:bookmarkStart w:id="30" w:name="_Toc199728729"/>
      <w:r>
        <w:rPr>
          <w:rFonts w:hint="eastAsia" w:hAnsi="宋体" w:cs="宋体"/>
          <w:b/>
          <w:bCs/>
          <w:color w:val="auto"/>
          <w:sz w:val="24"/>
          <w:szCs w:val="24"/>
          <w:highlight w:val="none"/>
        </w:rPr>
        <w:t>30.成交通知书</w:t>
      </w:r>
      <w:bookmarkEnd w:id="29"/>
      <w:bookmarkEnd w:id="30"/>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采购人在确定成交人后，向成交人发出成交通知。</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30.1 确定出成交人后在竞标有效期截止前，采购人将以书面形式通知成交的供应商其竞标被接受。在该通知书（以下合同条件中称“成交通知书”）中给出采购人对成交人按本合同的成交标价（以下合同条件中称为“合同价格”），以及交货期、质保期等。</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30.2 成交通知书为合同的组成部分。</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30.3 采购人应及时将未成交的结果通知供应商。</w:t>
      </w:r>
    </w:p>
    <w:p>
      <w:pPr>
        <w:pStyle w:val="12"/>
        <w:spacing w:line="500" w:lineRule="exact"/>
        <w:outlineLvl w:val="2"/>
        <w:rPr>
          <w:rFonts w:hAnsi="宋体" w:cs="宋体"/>
          <w:b/>
          <w:color w:val="auto"/>
          <w:sz w:val="24"/>
          <w:szCs w:val="24"/>
          <w:highlight w:val="none"/>
        </w:rPr>
      </w:pPr>
      <w:r>
        <w:rPr>
          <w:rFonts w:hint="eastAsia" w:hAnsi="宋体" w:cs="宋体"/>
          <w:b/>
          <w:bCs/>
          <w:color w:val="auto"/>
          <w:sz w:val="24"/>
          <w:szCs w:val="24"/>
          <w:highlight w:val="none"/>
        </w:rPr>
        <w:t>31.</w:t>
      </w:r>
      <w:r>
        <w:rPr>
          <w:rFonts w:hint="eastAsia" w:hAnsi="宋体" w:cs="宋体"/>
          <w:b/>
          <w:color w:val="auto"/>
          <w:sz w:val="24"/>
          <w:szCs w:val="24"/>
          <w:highlight w:val="none"/>
        </w:rPr>
        <w:t>合同授予标准</w:t>
      </w:r>
      <w:bookmarkEnd w:id="23"/>
      <w:bookmarkEnd w:id="24"/>
      <w:bookmarkEnd w:id="25"/>
      <w:bookmarkEnd w:id="26"/>
      <w:bookmarkEnd w:id="27"/>
      <w:bookmarkEnd w:id="28"/>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31.1合同授予被确定为实质上</w:t>
      </w:r>
      <w:r>
        <w:rPr>
          <w:rFonts w:hint="eastAsia" w:hAnsi="宋体" w:cs="宋体"/>
          <w:color w:val="auto"/>
          <w:sz w:val="24"/>
          <w:szCs w:val="24"/>
          <w:highlight w:val="none"/>
        </w:rPr>
        <w:t>响应谈判文件要</w:t>
      </w:r>
      <w:r>
        <w:rPr>
          <w:rFonts w:hint="eastAsia" w:hAnsi="宋体" w:cs="宋体"/>
          <w:bCs/>
          <w:color w:val="auto"/>
          <w:sz w:val="24"/>
          <w:szCs w:val="24"/>
          <w:highlight w:val="none"/>
        </w:rPr>
        <w:t>求，</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认为具备履行合同能力，报价最低的供应商。</w:t>
      </w:r>
    </w:p>
    <w:p>
      <w:pPr>
        <w:pStyle w:val="12"/>
        <w:spacing w:line="5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31.2 采购人应按照</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报告中推荐的成交候选供应商顺序确定成交供应商。</w:t>
      </w:r>
    </w:p>
    <w:p>
      <w:pPr>
        <w:pStyle w:val="12"/>
        <w:spacing w:line="500" w:lineRule="exact"/>
        <w:ind w:firstLine="420"/>
        <w:rPr>
          <w:rFonts w:hAnsi="宋体" w:cs="宋体"/>
          <w:color w:val="auto"/>
          <w:sz w:val="24"/>
          <w:szCs w:val="24"/>
          <w:highlight w:val="none"/>
        </w:rPr>
      </w:pPr>
      <w:r>
        <w:rPr>
          <w:rFonts w:hint="eastAsia" w:hAnsi="宋体" w:cs="宋体"/>
          <w:bCs/>
          <w:color w:val="auto"/>
          <w:sz w:val="24"/>
          <w:szCs w:val="24"/>
          <w:highlight w:val="none"/>
        </w:rPr>
        <w:t>31</w:t>
      </w:r>
      <w:r>
        <w:rPr>
          <w:rFonts w:hint="eastAsia" w:hAnsi="宋体" w:cs="宋体"/>
          <w:color w:val="auto"/>
          <w:sz w:val="24"/>
          <w:szCs w:val="24"/>
          <w:highlight w:val="none"/>
        </w:rPr>
        <w:t>.3成交供应商因不可抗力或者自身原因不能履行采购合同的，采购人可以合格的成交候选人中另行确定成交供应商，没有合格的成交候选人的，重新开展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p>
    <w:p>
      <w:pPr>
        <w:pStyle w:val="12"/>
        <w:spacing w:line="500" w:lineRule="exact"/>
        <w:outlineLvl w:val="2"/>
        <w:rPr>
          <w:rFonts w:hAnsi="宋体" w:cs="宋体"/>
          <w:color w:val="auto"/>
          <w:sz w:val="24"/>
          <w:szCs w:val="24"/>
          <w:highlight w:val="none"/>
        </w:rPr>
      </w:pPr>
      <w:bookmarkStart w:id="31" w:name="_Toc156106963"/>
      <w:bookmarkStart w:id="32" w:name="_Toc300676156"/>
      <w:bookmarkStart w:id="33" w:name="_Toc300675946"/>
      <w:r>
        <w:rPr>
          <w:rFonts w:hint="eastAsia" w:hAnsi="宋体" w:cs="宋体"/>
          <w:b/>
          <w:color w:val="auto"/>
          <w:sz w:val="24"/>
          <w:szCs w:val="24"/>
          <w:highlight w:val="none"/>
        </w:rPr>
        <w:t>32.签订合同</w:t>
      </w:r>
      <w:bookmarkEnd w:id="31"/>
      <w:bookmarkEnd w:id="32"/>
      <w:bookmarkEnd w:id="33"/>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32.1成交供应商在收到成交通知书后，按成交通知书中规定的时间、地点与采购人签订合同。</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32.2如成交供应商不按成交通知书的规定签订合同，则按成交供应商违约处理，同时还应对采购人承担违约责任。</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32.3合同签订必须按《中华人民共和国政府采购法》、《政府采购非招标采购方式管理办法》和《中华人民共和国合同法》，否则由此造成的后果由采购人负责。</w:t>
      </w:r>
    </w:p>
    <w:p>
      <w:pPr>
        <w:pStyle w:val="12"/>
        <w:spacing w:line="500" w:lineRule="exact"/>
        <w:ind w:left="6" w:firstLine="439"/>
        <w:rPr>
          <w:rFonts w:hAnsi="宋体" w:cs="宋体"/>
          <w:color w:val="auto"/>
          <w:sz w:val="24"/>
          <w:szCs w:val="24"/>
          <w:highlight w:val="none"/>
        </w:rPr>
      </w:pPr>
      <w:bookmarkStart w:id="34" w:name="_Toc205632338"/>
      <w:bookmarkStart w:id="35" w:name="_Toc290489636"/>
      <w:bookmarkStart w:id="36" w:name="_Toc290489558"/>
      <w:r>
        <w:rPr>
          <w:rFonts w:hint="eastAsia" w:hAnsi="宋体" w:cs="宋体"/>
          <w:color w:val="auto"/>
          <w:sz w:val="24"/>
          <w:szCs w:val="24"/>
          <w:highlight w:val="none"/>
        </w:rPr>
        <w:t>32.4成交供应商因不可抗力或者自身原因不能履行采购合同的，</w:t>
      </w:r>
      <w:bookmarkEnd w:id="34"/>
      <w:r>
        <w:rPr>
          <w:rFonts w:hint="eastAsia" w:hAnsi="宋体" w:cs="宋体"/>
          <w:color w:val="auto"/>
          <w:sz w:val="24"/>
          <w:szCs w:val="24"/>
          <w:highlight w:val="none"/>
        </w:rPr>
        <w:t>采购单位可以从合格的成交候选人中另行确定成交供应商，没有合格的成交候选人的，重新开展采购活动。《政府采购法实施条例》第四十九条中标或者成交供应商拒绝与采购人签订合同的，采购人可以按照评审报告推荐的中标或者成交候选人名单排序，确定下一候选人为中标或者成交供应商，也可以重新开展政府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bookmarkEnd w:id="35"/>
      <w:bookmarkEnd w:id="36"/>
    </w:p>
    <w:p>
      <w:pPr>
        <w:pStyle w:val="12"/>
        <w:spacing w:line="500" w:lineRule="exact"/>
        <w:outlineLvl w:val="2"/>
        <w:rPr>
          <w:rFonts w:hAnsi="宋体" w:cs="宋体"/>
          <w:b/>
          <w:color w:val="auto"/>
          <w:sz w:val="24"/>
          <w:szCs w:val="24"/>
          <w:highlight w:val="none"/>
        </w:rPr>
      </w:pPr>
      <w:bookmarkStart w:id="37" w:name="_Toc108836082"/>
      <w:bookmarkStart w:id="38" w:name="_Toc199728731"/>
      <w:bookmarkStart w:id="39" w:name="_Toc11381"/>
      <w:bookmarkStart w:id="40" w:name="_Toc108835671"/>
      <w:bookmarkStart w:id="41" w:name="_Toc156106965"/>
      <w:bookmarkStart w:id="42" w:name="_Toc300676158"/>
      <w:bookmarkStart w:id="43" w:name="_Toc300675948"/>
      <w:r>
        <w:rPr>
          <w:rFonts w:hint="eastAsia" w:hAnsi="宋体" w:cs="宋体"/>
          <w:b/>
          <w:color w:val="auto"/>
          <w:sz w:val="24"/>
          <w:szCs w:val="24"/>
          <w:highlight w:val="none"/>
        </w:rPr>
        <w:t>33.履约保证金</w:t>
      </w:r>
      <w:bookmarkEnd w:id="37"/>
      <w:bookmarkEnd w:id="38"/>
      <w:bookmarkEnd w:id="39"/>
      <w:bookmarkEnd w:id="40"/>
      <w:r>
        <w:rPr>
          <w:rFonts w:hint="eastAsia" w:hAnsi="宋体" w:cs="宋体"/>
          <w:b/>
          <w:color w:val="auto"/>
          <w:sz w:val="24"/>
          <w:szCs w:val="24"/>
          <w:highlight w:val="none"/>
        </w:rPr>
        <w:t xml:space="preserve"> </w:t>
      </w:r>
    </w:p>
    <w:p>
      <w:pPr>
        <w:pStyle w:val="12"/>
        <w:spacing w:line="500" w:lineRule="exact"/>
        <w:ind w:left="6" w:firstLine="439"/>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33.1履约担保的金额：</w:t>
      </w:r>
      <w:r>
        <w:rPr>
          <w:rFonts w:hint="eastAsia" w:hAnsi="宋体" w:cs="宋体"/>
          <w:color w:val="auto"/>
          <w:sz w:val="24"/>
          <w:szCs w:val="24"/>
          <w:highlight w:val="none"/>
          <w:lang w:val="en-US" w:eastAsia="zh-CN"/>
        </w:rPr>
        <w:t>/</w:t>
      </w:r>
    </w:p>
    <w:p>
      <w:pPr>
        <w:pStyle w:val="12"/>
        <w:spacing w:line="500" w:lineRule="exact"/>
        <w:ind w:left="6" w:firstLine="439"/>
        <w:rPr>
          <w:rFonts w:hAnsi="宋体" w:cs="宋体"/>
          <w:color w:val="auto"/>
          <w:sz w:val="24"/>
          <w:szCs w:val="24"/>
          <w:highlight w:val="none"/>
        </w:rPr>
      </w:pPr>
    </w:p>
    <w:p>
      <w:pPr>
        <w:pStyle w:val="12"/>
        <w:spacing w:line="420" w:lineRule="exact"/>
        <w:ind w:firstLine="3869" w:firstLineChars="1606"/>
        <w:outlineLvl w:val="1"/>
        <w:rPr>
          <w:rFonts w:hAnsi="宋体" w:cs="宋体"/>
          <w:b/>
          <w:bCs/>
          <w:color w:val="auto"/>
          <w:sz w:val="24"/>
          <w:szCs w:val="24"/>
          <w:highlight w:val="none"/>
        </w:rPr>
      </w:pPr>
      <w:r>
        <w:rPr>
          <w:rFonts w:hint="eastAsia" w:hAnsi="宋体" w:cs="宋体"/>
          <w:b/>
          <w:bCs/>
          <w:color w:val="auto"/>
          <w:sz w:val="24"/>
          <w:szCs w:val="24"/>
          <w:highlight w:val="none"/>
        </w:rPr>
        <w:t>八、其他事项</w:t>
      </w:r>
      <w:bookmarkEnd w:id="41"/>
      <w:bookmarkEnd w:id="42"/>
      <w:bookmarkEnd w:id="43"/>
    </w:p>
    <w:p>
      <w:pPr>
        <w:pStyle w:val="12"/>
        <w:spacing w:line="420" w:lineRule="exact"/>
        <w:outlineLvl w:val="2"/>
        <w:rPr>
          <w:rFonts w:hint="eastAsia" w:hAnsi="宋体" w:cs="宋体"/>
          <w:b/>
          <w:color w:val="auto"/>
          <w:sz w:val="24"/>
          <w:szCs w:val="24"/>
          <w:highlight w:val="none"/>
        </w:rPr>
      </w:pPr>
      <w:bookmarkStart w:id="44" w:name="_Toc295666185"/>
      <w:bookmarkStart w:id="45" w:name="_Toc156106967"/>
      <w:bookmarkStart w:id="46" w:name="_Toc295666043"/>
    </w:p>
    <w:p>
      <w:pPr>
        <w:pStyle w:val="12"/>
        <w:spacing w:line="420" w:lineRule="exact"/>
        <w:outlineLvl w:val="2"/>
        <w:rPr>
          <w:rFonts w:hAnsi="宋体" w:cs="宋体"/>
          <w:b/>
          <w:color w:val="auto"/>
          <w:sz w:val="24"/>
          <w:szCs w:val="24"/>
          <w:highlight w:val="none"/>
        </w:rPr>
      </w:pPr>
      <w:r>
        <w:rPr>
          <w:rFonts w:hint="eastAsia" w:hAnsi="宋体" w:cs="宋体"/>
          <w:b/>
          <w:color w:val="auto"/>
          <w:sz w:val="24"/>
          <w:szCs w:val="24"/>
          <w:highlight w:val="none"/>
        </w:rPr>
        <w:t>3</w:t>
      </w: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.解释权</w:t>
      </w:r>
      <w:bookmarkEnd w:id="44"/>
      <w:bookmarkEnd w:id="45"/>
      <w:bookmarkEnd w:id="46"/>
    </w:p>
    <w:p>
      <w:pPr>
        <w:pStyle w:val="12"/>
        <w:spacing w:line="420" w:lineRule="exact"/>
        <w:ind w:firstLine="420"/>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.1本谈判采购文件是根据国家有关法律、法规以及政府采购管理有关规定和参照国际惯例编制，解释权属</w:t>
      </w:r>
      <w:r>
        <w:rPr>
          <w:rFonts w:hint="eastAsia" w:hAnsi="宋体" w:cs="宋体"/>
          <w:color w:val="auto"/>
          <w:sz w:val="24"/>
          <w:szCs w:val="24"/>
          <w:highlight w:val="none"/>
          <w:lang w:val="en-US" w:eastAsia="zh-CN"/>
        </w:rPr>
        <w:t>隆林各族自治县中医医院</w:t>
      </w:r>
      <w:r>
        <w:rPr>
          <w:rFonts w:hint="eastAsia" w:hAnsi="宋体" w:cs="宋体"/>
          <w:color w:val="auto"/>
          <w:sz w:val="24"/>
          <w:szCs w:val="24"/>
          <w:highlight w:val="none"/>
        </w:rPr>
        <w:t>。</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有下列情形之一的，应予以重新采购：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⑴竞标截止时间止，供应商不足3家的。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⑵符合专业条件的供应商或者对竞争性谈判文件作实质响应的供应商不足三家的；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⑶出现影响采购公正的违法、违规行为的；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pPr>
        <w:keepNext/>
        <w:numPr>
          <w:ilvl w:val="0"/>
          <w:numId w:val="4"/>
        </w:numPr>
        <w:spacing w:line="4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货物需求一览表</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说明：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1.本一览表的货物品牌型号、技术参数及其性能（配置）仅起参考作用，供应商可选用其它品牌型号替代，但这些替代的品牌型号要实质上相当于或优于参考品牌型号及其技术参数性能（配置）要求；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 xml:space="preserve">2.本一览表中参考品牌型号规格及技术参数不明确或有误的，或供应商选用其它品牌型号替代的，请以详细、正确的品牌型号、技术参数（配置）同时填写竞标报价明细表和技术规格响应表。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w:t>
      </w:r>
      <w:r>
        <w:rPr>
          <w:rFonts w:hint="eastAsia" w:ascii="宋体" w:hAnsi="宋体" w:eastAsia="宋体" w:cs="宋体"/>
          <w:b/>
          <w:bCs/>
          <w:color w:val="auto"/>
          <w:sz w:val="24"/>
          <w:szCs w:val="24"/>
          <w:highlight w:val="none"/>
          <w:lang w:eastAsia="zh-CN" w:bidi="ar"/>
        </w:rPr>
        <w:t>六</w:t>
      </w:r>
      <w:r>
        <w:rPr>
          <w:rFonts w:hint="eastAsia" w:ascii="宋体" w:hAnsi="宋体" w:eastAsia="宋体" w:cs="宋体"/>
          <w:b/>
          <w:bCs/>
          <w:color w:val="auto"/>
          <w:sz w:val="24"/>
          <w:szCs w:val="24"/>
          <w:highlight w:val="none"/>
          <w:lang w:bidi="ar"/>
        </w:rPr>
        <w:t>章 评审程序和评定成交的标准”。</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4.凡在“技术参数及性能（配置）要求”中表述为“标配”或“标准配置”的货物，供应商应在竞标报价明细表中将其标配参数详细列明。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”项为重要货物技术参数、性能（配置）及要求，供应商的竞标产品必须满足或优于该参数配置要求，否则竞标无效</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val="en-US" w:eastAsia="zh-CN" w:bidi="ar"/>
        </w:rPr>
        <w:t>未打“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”项，偏离不能大于三项，否则亦视为竟标无效</w:t>
      </w:r>
      <w:r>
        <w:rPr>
          <w:rFonts w:hint="eastAsia" w:ascii="宋体" w:hAnsi="宋体" w:eastAsia="宋体" w:cs="宋体"/>
          <w:b/>
          <w:bCs/>
          <w:color w:val="auto"/>
          <w:sz w:val="24"/>
          <w:szCs w:val="24"/>
          <w:highlight w:val="none"/>
          <w:lang w:bidi="ar"/>
        </w:rPr>
        <w:t xml:space="preserve">。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6. 根据《国务院办公厅关于建立政府强制采购节能产品制度的通知》（国办发〔2007〕51 号）和财政部、国家发展改革委发布的《节能产品政府采购实施意见》（财库〔2004〕185 号）的规定，采购需求中凡列入国家财政部在中国政府采购网上公布的最新一期节能（以招标公告发布日期为准）产品政府采购清单的产品，供应商竞标时必须于响应文件中提供所投产品属于强制采购节能产品清单的证明。</w:t>
      </w:r>
    </w:p>
    <w:p>
      <w:pP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7.中小企业划分标准所属行业名称：</w:t>
      </w:r>
      <w:r>
        <w:rPr>
          <w:rFonts w:hint="eastAsia" w:ascii="宋体" w:hAnsi="宋体" w:eastAsia="宋体" w:cs="宋体"/>
          <w:b/>
          <w:bCs/>
          <w:color w:val="auto"/>
          <w:sz w:val="24"/>
          <w:szCs w:val="24"/>
          <w:highlight w:val="none"/>
          <w:lang w:val="en-US" w:eastAsia="zh-CN" w:bidi="ar"/>
        </w:rPr>
        <w:t>工业</w:t>
      </w:r>
      <w:r>
        <w:rPr>
          <w:rFonts w:hint="eastAsia" w:ascii="宋体" w:hAnsi="宋体" w:eastAsia="宋体" w:cs="宋体"/>
          <w:b/>
          <w:bCs/>
          <w:color w:val="auto"/>
          <w:sz w:val="24"/>
          <w:szCs w:val="24"/>
          <w:highlight w:val="none"/>
          <w:lang w:bidi="ar"/>
        </w:rPr>
        <w:t>。</w:t>
      </w:r>
    </w:p>
    <w:p>
      <w:pPr>
        <w:pStyle w:val="17"/>
        <w:spacing w:before="0" w:after="0" w:line="23" w:lineRule="atLeast"/>
        <w:ind w:firstLine="441" w:firstLineChars="183"/>
        <w:rPr>
          <w:rFonts w:hint="eastAsia" w:hAnsi="宋体" w:cs="宋体"/>
          <w:b/>
          <w:color w:val="auto"/>
          <w:szCs w:val="24"/>
          <w:highlight w:val="none"/>
        </w:rPr>
      </w:pPr>
      <w:r>
        <w:rPr>
          <w:rFonts w:hint="eastAsia" w:hAnsi="宋体" w:cs="宋体"/>
          <w:b/>
          <w:color w:val="auto"/>
          <w:szCs w:val="24"/>
          <w:highlight w:val="none"/>
        </w:rPr>
        <w:t>本一览表中的规格要求不明确或有误的，请以详细、正确的规格要求同时填写竞标报价表和规格偏离表。</w:t>
      </w:r>
    </w:p>
    <w:tbl>
      <w:tblPr>
        <w:tblStyle w:val="20"/>
        <w:tblpPr w:leftFromText="180" w:rightFromText="180" w:vertAnchor="text" w:horzAnchor="page" w:tblpX="853" w:tblpY="569"/>
        <w:tblOverlap w:val="never"/>
        <w:tblW w:w="10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60"/>
        <w:gridCol w:w="750"/>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序号</w:t>
            </w:r>
          </w:p>
        </w:tc>
        <w:tc>
          <w:tcPr>
            <w:tcW w:w="1260" w:type="dxa"/>
            <w:noWrap w:val="0"/>
            <w:vAlign w:val="center"/>
          </w:tcPr>
          <w:p>
            <w:pPr>
              <w:jc w:val="center"/>
              <w:rPr>
                <w:rFonts w:hint="eastAsia" w:ascii="Calibri" w:hAnsi="Calibri"/>
                <w:color w:val="000000"/>
                <w:szCs w:val="21"/>
                <w:highlight w:val="none"/>
              </w:rPr>
            </w:pPr>
            <w:r>
              <w:rPr>
                <w:rFonts w:hint="eastAsia" w:ascii="Calibri" w:hAnsi="Calibri"/>
                <w:color w:val="000000"/>
                <w:szCs w:val="21"/>
                <w:highlight w:val="none"/>
              </w:rPr>
              <w:t>货物名称</w:t>
            </w:r>
          </w:p>
        </w:tc>
        <w:tc>
          <w:tcPr>
            <w:tcW w:w="750" w:type="dxa"/>
            <w:noWrap w:val="0"/>
            <w:vAlign w:val="center"/>
          </w:tcPr>
          <w:p>
            <w:pPr>
              <w:jc w:val="center"/>
              <w:rPr>
                <w:rFonts w:hint="eastAsia"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数量</w:t>
            </w:r>
          </w:p>
        </w:tc>
        <w:tc>
          <w:tcPr>
            <w:tcW w:w="7642"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1</w:t>
            </w:r>
          </w:p>
        </w:tc>
        <w:tc>
          <w:tcPr>
            <w:tcW w:w="1260" w:type="dxa"/>
            <w:noWrap w:val="0"/>
            <w:vAlign w:val="center"/>
          </w:tcPr>
          <w:p>
            <w:pPr>
              <w:jc w:val="center"/>
              <w:rPr>
                <w:rFonts w:hint="eastAsia" w:ascii="Calibri" w:hAnsi="Calibri"/>
                <w:b w:val="0"/>
                <w:bCs w:val="0"/>
                <w:color w:val="000000"/>
                <w:szCs w:val="21"/>
                <w:highlight w:val="none"/>
                <w:lang w:val="en-US" w:eastAsia="zh-CN"/>
              </w:rPr>
            </w:pPr>
            <w:r>
              <w:rPr>
                <w:rFonts w:hint="eastAsia" w:ascii="宋体" w:hAnsi="宋体" w:eastAsia="宋体" w:cs="宋体"/>
                <w:b w:val="0"/>
                <w:bCs w:val="0"/>
                <w:sz w:val="24"/>
                <w:szCs w:val="24"/>
                <w:highlight w:val="none"/>
                <w:lang w:val="en-US" w:eastAsia="zh-CN"/>
              </w:rPr>
              <w:t>电动碳纤维骨科牵引手术床</w:t>
            </w:r>
          </w:p>
        </w:tc>
        <w:tc>
          <w:tcPr>
            <w:tcW w:w="750" w:type="dxa"/>
            <w:noWrap w:val="0"/>
            <w:vAlign w:val="center"/>
          </w:tcPr>
          <w:p>
            <w:pPr>
              <w:jc w:val="center"/>
              <w:rPr>
                <w:rFonts w:hint="default"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1台</w:t>
            </w:r>
          </w:p>
        </w:tc>
        <w:tc>
          <w:tcPr>
            <w:tcW w:w="7642" w:type="dxa"/>
            <w:noWrap w:val="0"/>
            <w:vAlign w:val="top"/>
          </w:tcPr>
          <w:p>
            <w:pPr>
              <w:widowControl/>
              <w:spacing w:line="440" w:lineRule="exact"/>
              <w:textAlignment w:val="baseline"/>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一、基本要求：</w:t>
            </w:r>
          </w:p>
          <w:p>
            <w:pPr>
              <w:widowControl/>
              <w:spacing w:line="44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电动手术床配记忆海绵床垫，头板，主机（包含背板，坐板），分体式腿板，备用面板，无线遥控器，托手架一对（含夹持器），麻醉屏架（含夹持器），碳纤维骨科牵引架（转接器 2件，碳纤悬臂2件，支脚2件，牵引器组件 2件， 牵引靴 2件，会阴抵柱1件，骨盆坐板1件，牵引架小车 1件，）。</w:t>
            </w:r>
          </w:p>
          <w:p>
            <w:pPr>
              <w:numPr>
                <w:ilvl w:val="0"/>
                <w:numId w:val="0"/>
              </w:numPr>
              <w:ind w:left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val="0"/>
                <w:color w:val="000000"/>
                <w:sz w:val="24"/>
                <w:szCs w:val="24"/>
                <w:highlight w:val="none"/>
              </w:rPr>
              <w:t>二、</w:t>
            </w:r>
            <w:r>
              <w:rPr>
                <w:rFonts w:hint="eastAsia" w:ascii="宋体" w:hAnsi="宋体" w:eastAsia="宋体" w:cs="宋体"/>
                <w:b/>
                <w:bCs/>
                <w:sz w:val="24"/>
                <w:szCs w:val="24"/>
                <w:highlight w:val="none"/>
                <w:lang w:val="en-US" w:eastAsia="zh-CN"/>
              </w:rPr>
              <w:t>电动碳纤维骨科牵引手术床需求参数：</w:t>
            </w:r>
          </w:p>
          <w:p>
            <w:pPr>
              <w:numPr>
                <w:ilvl w:val="0"/>
                <w:numId w:val="0"/>
              </w:numPr>
              <w:ind w:leftChars="0"/>
              <w:jc w:val="left"/>
              <w:rPr>
                <w:rFonts w:hint="eastAsia" w:ascii="宋体" w:hAnsi="宋体" w:eastAsia="宋体" w:cs="宋体"/>
                <w:b/>
                <w:bCs/>
                <w:sz w:val="21"/>
                <w:szCs w:val="21"/>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手术床采用电动液压动力系统，可电动调节实现台面升降、头脚倾、左右倾、背板上下折、解锁和锁定，平移。同时手术床具备多种控制系统可选，包括线控器、遥控器、备用面板、脚踏开关（提供医疗器械检测所检测报告）。</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2.▲手术床在5米范围内可通过无线功能遥控手术床运行。</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3.▲手术床立柱护罩顶端采用硬顶式非软质皮老虎设计，无褶皱便于清洁消毒，同时立柱式备用面板与硬顶式立柱护罩位于同一平面，不得凸出立柱护罩表面，降低感控风险（提供实物图片及彩页证明）。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4.▲手术床床垫厚度≥80mm，为多层减压记忆海绵制成，同时床垫具有双层透气膜设计，透气不透水（提供彩页证明），且床垫皮层通过TB117-2013防火等级测试（提供第三方检测报告证明）。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5.手术床腿板采用一键拆装设计，不需要再进行二次旋钮解锁腿板，同时采用气弹簧腿板设计，便于操作。(提供彩页或视频证明)。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6.手术床底罩采用大平板底罩设计，底座厚度≤150mm。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7.▲手术床底座在腿端有U型凹槽设计，便于术中放置污物桶，同时手术床开关、等电位柱及电源接口处具备防水盖。</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8.手术床防水测试等级≥IPX5。（提供第三方检测报告证明）。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9.手术床具备四个万向脚轮，可以原地旋转和移动，方便骨科手术拍片使用。手术床具有四个独立的电动支脚刹车，非轮式刹车设计，满足手术稳定性要求(提供彩页证明)。</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10.手术床配有高性能充电电池，可满足不少于60 次手术需要，同时手术床遥控器配有高性能充电电池，满足不少于120 次手术需要。</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11.手术床承重：≥400kg。（提供医疗器械注册证附页产品技术要求证明或提供医疗器械检测所检测报告）。</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12.▲手术床技术要求：（提供医疗器械检测所检测报告）</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手术床宽度：≥520mm，≥长度2080mm。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纵向最大倾斜角度（头倾）：≥36°。</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纵向最大倾斜角度（脚倾）：≥25°。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侧向最大倾斜角度（左倾/右倾）：≥21°。</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头板最大倾斜角度：上折≥60°，下折≥90°。</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背板最大倾斜角度：上折≥75°，下折≥45°。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腿板最大倾斜角度：上折≥36°；下折≥85°。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手术床最低台面：≤595mm。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手术床最高台面：≥950mm。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台面平移距离：≥320mm 。</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手术床具备一键实现屈曲、反屈曲位，同时具备一键0位功能。</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13.配骨科牵引架，满足高需求的骨科下肢手术，牵引固定患肢，方便手术操作，节省人力。</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14.牵引架悬臂、骨盆坐板、会阴抵柱为碳纤维材质，表面更加平滑，更易清洁。</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15.▲悬臂和骨盆坐板采用等透设计，实现C臂360°透视无明显异常伪影；</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16.▲牵引器采用滑轨设计，阻尼更小，粗调阶段，调节时更简单省力。</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17.骨科牵引架技术要求</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悬臂长度:1415-1635mm（增加L型延长杆可到1635）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悬臂材质：碳纤维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悬臂第一关节角度：130°</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会阴抵柱长度：355mm，直径：100mm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会阴抵柱材质：碳纤维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骨盆坐板材质：碳纤维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牵引靴上下高度调节范围：400mm；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牵引靴水平可调节范围：275mm；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▲牵引靴垂直方向旋转角度：360°，并支持任意角度下固定位置；</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▲牵引靴水平方向旋转角度：360°，并支持任意角度下固定位置；</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牵引器细调节牵引行程：180mm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牵引器可调节角度：上下仰角可调15°</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牵引架小车: 长：1055mm  宽：755mm  高：655mm</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最大牵引力：686N</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最大承重：135KG</w:t>
            </w:r>
          </w:p>
          <w:p>
            <w:pPr>
              <w:widowControl/>
              <w:spacing w:line="440" w:lineRule="exact"/>
              <w:textAlignment w:val="baseline"/>
              <w:rPr>
                <w:rFonts w:hint="eastAsia" w:ascii="宋体" w:hAnsi="宋体" w:eastAsia="宋体" w:cs="宋体"/>
                <w:bCs/>
                <w:color w:val="000000"/>
                <w:sz w:val="24"/>
                <w:szCs w:val="24"/>
                <w:highlight w:val="none"/>
              </w:rPr>
            </w:pPr>
          </w:p>
          <w:p>
            <w:pPr>
              <w:widowControl/>
              <w:spacing w:line="440" w:lineRule="exact"/>
              <w:textAlignment w:val="baseline"/>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序号</w:t>
            </w:r>
          </w:p>
        </w:tc>
        <w:tc>
          <w:tcPr>
            <w:tcW w:w="1260" w:type="dxa"/>
            <w:noWrap w:val="0"/>
            <w:vAlign w:val="center"/>
          </w:tcPr>
          <w:p>
            <w:pPr>
              <w:jc w:val="center"/>
              <w:rPr>
                <w:rFonts w:hint="eastAsia" w:ascii="Calibri" w:hAnsi="Calibri"/>
                <w:color w:val="000000"/>
                <w:szCs w:val="21"/>
                <w:highlight w:val="none"/>
              </w:rPr>
            </w:pPr>
            <w:r>
              <w:rPr>
                <w:rFonts w:hint="eastAsia" w:ascii="Calibri" w:hAnsi="Calibri"/>
                <w:color w:val="000000"/>
                <w:szCs w:val="21"/>
                <w:highlight w:val="none"/>
              </w:rPr>
              <w:t>货物名称</w:t>
            </w:r>
          </w:p>
        </w:tc>
        <w:tc>
          <w:tcPr>
            <w:tcW w:w="750" w:type="dxa"/>
            <w:noWrap w:val="0"/>
            <w:vAlign w:val="center"/>
          </w:tcPr>
          <w:p>
            <w:pPr>
              <w:jc w:val="center"/>
              <w:rPr>
                <w:rFonts w:hint="eastAsia"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数量</w:t>
            </w:r>
          </w:p>
        </w:tc>
        <w:tc>
          <w:tcPr>
            <w:tcW w:w="7642" w:type="dxa"/>
            <w:noWrap w:val="0"/>
            <w:vAlign w:val="center"/>
          </w:tcPr>
          <w:p>
            <w:pPr>
              <w:jc w:val="center"/>
              <w:rPr>
                <w:rFonts w:ascii="宋体" w:hAnsi="宋体" w:cs="宋体"/>
                <w:color w:val="000000"/>
                <w:szCs w:val="21"/>
                <w:highlight w:val="none"/>
              </w:rPr>
            </w:pPr>
            <w:r>
              <w:rPr>
                <w:rFonts w:hint="eastAsia" w:ascii="宋体" w:hAnsi="宋体" w:cs="宋体"/>
                <w:color w:val="000000"/>
                <w:szCs w:val="21"/>
                <w:highlight w:val="none"/>
                <w:lang w:val="en-US" w:eastAsia="zh-CN"/>
              </w:rPr>
              <w:t>心肺复苏机</w:t>
            </w:r>
            <w:r>
              <w:rPr>
                <w:rFonts w:hint="eastAsia" w:ascii="宋体" w:hAnsi="宋体" w:cs="宋体"/>
                <w:color w:val="000000"/>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780" w:type="dxa"/>
            <w:noWrap w:val="0"/>
            <w:vAlign w:val="center"/>
          </w:tcPr>
          <w:p>
            <w:pPr>
              <w:jc w:val="center"/>
              <w:rPr>
                <w:rFonts w:hint="eastAsia" w:ascii="Calibri" w:hAnsi="Calibri" w:eastAsia="微软雅黑"/>
                <w:color w:val="000000"/>
                <w:szCs w:val="21"/>
                <w:highlight w:val="none"/>
                <w:lang w:eastAsia="zh-CN"/>
              </w:rPr>
            </w:pPr>
            <w:r>
              <w:rPr>
                <w:rFonts w:hint="eastAsia" w:ascii="Calibri" w:hAnsi="Calibri"/>
                <w:color w:val="000000"/>
                <w:szCs w:val="21"/>
                <w:highlight w:val="none"/>
                <w:lang w:val="en-US" w:eastAsia="zh-CN"/>
              </w:rPr>
              <w:t>2</w:t>
            </w:r>
          </w:p>
        </w:tc>
        <w:tc>
          <w:tcPr>
            <w:tcW w:w="1260" w:type="dxa"/>
            <w:noWrap w:val="0"/>
            <w:vAlign w:val="center"/>
          </w:tcPr>
          <w:p>
            <w:pPr>
              <w:jc w:val="center"/>
              <w:rPr>
                <w:rFonts w:hint="eastAsia" w:ascii="Calibri" w:hAnsi="Calibri"/>
                <w:b w:val="0"/>
                <w:bCs w:val="0"/>
                <w:color w:val="000000"/>
                <w:szCs w:val="21"/>
                <w:highlight w:val="none"/>
                <w:lang w:val="en-US" w:eastAsia="zh-CN"/>
              </w:rPr>
            </w:pPr>
            <w:r>
              <w:rPr>
                <w:rFonts w:hint="eastAsia" w:asciiTheme="minorEastAsia" w:hAnsiTheme="minorEastAsia" w:eastAsiaTheme="minorEastAsia" w:cstheme="minorEastAsia"/>
                <w:b/>
                <w:bCs/>
                <w:sz w:val="24"/>
                <w:szCs w:val="24"/>
                <w:highlight w:val="none"/>
                <w:lang w:val="en-US" w:eastAsia="zh-CN"/>
              </w:rPr>
              <w:t>心肺复苏机</w:t>
            </w:r>
          </w:p>
        </w:tc>
        <w:tc>
          <w:tcPr>
            <w:tcW w:w="750" w:type="dxa"/>
            <w:noWrap w:val="0"/>
            <w:vAlign w:val="center"/>
          </w:tcPr>
          <w:p>
            <w:pPr>
              <w:jc w:val="center"/>
              <w:rPr>
                <w:rFonts w:hint="default"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1台</w:t>
            </w:r>
          </w:p>
        </w:tc>
        <w:tc>
          <w:tcPr>
            <w:tcW w:w="7642" w:type="dxa"/>
            <w:noWrap w:val="0"/>
            <w:vAlign w:val="top"/>
          </w:tcPr>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一、适用范围：</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针对院外或院内的成年心脏骤停患者进行胸外心脏按压抢救；</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二、主要技术参数</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1.▲电动电控型心肺复苏机，无需任何气源即可实现心脏按压；</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2.插拔式可充电锂电池，电池可连续工作60分钟以上；</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3.▲采用背板加双侧支臂式按压结构，支臂与底板采用卡扣式连接，快速操作；</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4.设备连接完毕后仅2步操作即可实现按压，第一步开机，第二步启动按压；</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5.▲标配负压吸引盘，有效提拉胸腔回弹，提升血流灌注和防止胸腔塌陷的发生；</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6.启动按压键，按压头接触到患者后完成自动定位，无需人工拉动按压头进行定位；</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7.整机重量（含电池及背板）≦9.2kg；</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8.在线充电时同时进行按压操作；</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9.彩色触摸屏，屏幕尺寸≥3.2英寸；亦可通过薄膜按键进行按压操作；</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10.按压深度：30∽60mm，连续可调；</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11.按压频率：每分钟按压100-120次；</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12.按压模式：15-2模式、30-2模式和连续按压模式；</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13.按压/释放比：1-1；</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14.▲CPR质量生理监测：遵循2020年国际最新心肺复苏质量监测指南要求进行设计，监测和优化CPR质量，内置EtCO2生理参数监测；</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15.电量报警：具有电量显示图标，具有电池低电量报警；</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16.快速安装，2步操作，可在10秒内完成安装，大幅提升抢救效率；</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17.具有手臂固定带和移位固定带，手臂可与按压装置固定连接，方便移动过程中使用；</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18.设备兼容性：背板采用塑料纤维材质，可透X光；可配合超声、触诊、除颤使用，无需拆卸机器即可配合；</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19.配有便携式一体化背囊，利于野外或转运过程中携带使用；</w:t>
            </w:r>
          </w:p>
          <w:p>
            <w:pPr>
              <w:numPr>
                <w:ilvl w:val="0"/>
                <w:numId w:val="0"/>
              </w:numPr>
              <w:ind w:left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20.设备使用年限≥10年。</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pPr>
              <w:widowControl/>
              <w:spacing w:line="440" w:lineRule="exact"/>
              <w:textAlignment w:val="baseline"/>
              <w:rPr>
                <w:rFonts w:hint="eastAsia" w:ascii="宋体" w:hAnsi="宋体" w:eastAsia="宋体" w:cs="宋体"/>
                <w:bCs/>
                <w:color w:val="000000"/>
                <w:sz w:val="24"/>
                <w:szCs w:val="24"/>
                <w:highlight w:val="none"/>
              </w:rPr>
            </w:pPr>
          </w:p>
          <w:p>
            <w:pPr>
              <w:widowControl/>
              <w:spacing w:line="440" w:lineRule="exact"/>
              <w:textAlignment w:val="baseline"/>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432" w:type="dxa"/>
            <w:gridSpan w:val="4"/>
            <w:noWrap w:val="0"/>
            <w:vAlign w:val="center"/>
          </w:tcPr>
          <w:p>
            <w:pPr>
              <w:widowControl/>
              <w:spacing w:line="440" w:lineRule="exact"/>
              <w:textAlignment w:val="baseline"/>
              <w:rPr>
                <w:rFonts w:hint="eastAsia" w:ascii="宋体" w:hAnsi="宋体" w:eastAsia="微软雅黑" w:cs="Arial"/>
                <w:bCs/>
                <w:color w:val="000000"/>
                <w:sz w:val="24"/>
                <w:szCs w:val="24"/>
                <w:highlight w:val="none"/>
                <w:lang w:eastAsia="zh-CN"/>
              </w:rPr>
            </w:pPr>
            <w:r>
              <w:rPr>
                <w:rFonts w:hint="eastAsia" w:ascii="宋体" w:hAnsi="宋体" w:eastAsia="宋体" w:cs="Arial"/>
                <w:b/>
                <w:bCs w:val="0"/>
                <w:color w:val="000000"/>
                <w:sz w:val="24"/>
                <w:szCs w:val="24"/>
                <w:highlight w:val="none"/>
                <w:lang w:val="en-US" w:eastAsia="zh-CN"/>
              </w:rPr>
              <w:t>商务要求及售后服务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2" w:type="dxa"/>
            <w:gridSpan w:val="4"/>
            <w:noWrap w:val="0"/>
            <w:vAlign w:val="center"/>
          </w:tcPr>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商务要求</w:t>
            </w:r>
          </w:p>
          <w:p>
            <w:pPr>
              <w:widowControl/>
              <w:numPr>
                <w:ilvl w:val="0"/>
                <w:numId w:val="5"/>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交货期限及地点:(1)交货期:自签订合同之日起30个工作日内交货并安装调试合格交付使用。(2)交货地点:隆林各族自治县中医医院。</w:t>
            </w:r>
          </w:p>
          <w:p>
            <w:pPr>
              <w:widowControl/>
              <w:numPr>
                <w:ilvl w:val="0"/>
                <w:numId w:val="5"/>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付款方式:（1）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widowControl/>
              <w:numPr>
                <w:ilvl w:val="0"/>
                <w:numId w:val="5"/>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验收标准 1.投标人提供的产品必须符合国家、行业强制执行的相关质量标准要求以及产品制造厂家合格产品的出厂质量标准，2.设备需全新、完好、无破损，产品到货后，采购人现场根据招标文件要求及投标文件承诺逐条对应进行核验，必要时，采购人有权邀请国家质量监督检验部门或国家认可的检测机构参与共同验收。如产品不满足招标文件要求、中标人投标承诺或国家、行业强制执行验收标准的相关质量标准要求以及产品制造厂家合格产品的出厂质量标准，采购人有权终止合同执行并全部退货，由此造成采购人的经济损失由中标人承担全部赔偿责任。3.在交付</w:t>
            </w:r>
            <w:r>
              <w:rPr>
                <w:rFonts w:hint="eastAsia" w:ascii="宋体" w:hAnsi="宋体" w:eastAsia="宋体" w:cs="宋体"/>
                <w:b w:val="0"/>
                <w:bCs w:val="0"/>
                <w:sz w:val="24"/>
                <w:szCs w:val="24"/>
                <w:highlight w:val="none"/>
                <w:lang w:val="en-US" w:eastAsia="zh-CN"/>
              </w:rPr>
              <w:t>设备</w:t>
            </w:r>
            <w:r>
              <w:rPr>
                <w:rFonts w:hint="eastAsia" w:ascii="宋体" w:hAnsi="宋体" w:eastAsia="宋体" w:cs="Arial"/>
                <w:bCs/>
                <w:color w:val="000000"/>
                <w:sz w:val="24"/>
                <w:szCs w:val="24"/>
                <w:highlight w:val="none"/>
                <w:lang w:val="en-US" w:eastAsia="zh-CN"/>
              </w:rPr>
              <w:t>时，中标人必须提供货物的相关资料（如：操作手册、使用指南、维修手册、安装调试说明书、服务手册等）及配件，否则不予验收。</w:t>
            </w:r>
          </w:p>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售后服务</w:t>
            </w:r>
          </w:p>
          <w:p>
            <w:pPr>
              <w:widowControl/>
              <w:numPr>
                <w:ilvl w:val="0"/>
                <w:numId w:val="0"/>
              </w:numPr>
              <w:spacing w:line="360" w:lineRule="auto"/>
              <w:ind w:left="120" w:leftChars="0" w:firstLine="480" w:firstLineChars="200"/>
              <w:textAlignment w:val="baseline"/>
              <w:rPr>
                <w:rFonts w:hint="eastAsia" w:ascii="宋体" w:hAnsi="宋体" w:eastAsia="宋体" w:cs="宋体"/>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按照国家有关产品“三包"规定执行"三包"，质保年限≥2 年，使用年限≥8年。2、采购范围内的货物送货上门，装卸、安装调试合格，提供使用培训，直至采购人技术人员可熟练操作使用。3、在使用过程中若产品发生质量问题或故障，接到采购人报修通知后，立即响应并在0.5小时内采取相应措在收到采购人要求服务通知6小时内服务人员到达现场，对设备出现的较大问题，解决时间不超过3工作日。 4、免费保修期内免材料费及维修费,免费保修期外中标人须继续提供免费电话咨询服务，并以优惠的价格提有偿服务，终身维修。</w:t>
            </w:r>
            <w:r>
              <w:rPr>
                <w:rFonts w:hint="eastAsia" w:ascii="宋体" w:hAnsi="宋体" w:eastAsia="宋体" w:cs="宋体"/>
                <w:b w:val="0"/>
                <w:bCs w:val="0"/>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2" w:type="dxa"/>
            <w:gridSpan w:val="4"/>
            <w:noWrap w:val="0"/>
            <w:vAlign w:val="center"/>
          </w:tcPr>
          <w:p>
            <w:pPr>
              <w:widowControl/>
              <w:numPr>
                <w:ilvl w:val="0"/>
                <w:numId w:val="0"/>
              </w:numPr>
              <w:spacing w:line="360" w:lineRule="auto"/>
              <w:ind w:left="120" w:leftChars="0"/>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其它：</w:t>
            </w:r>
            <w:r>
              <w:rPr>
                <w:rFonts w:hint="eastAsia" w:ascii="宋体" w:hAnsi="宋体" w:eastAsia="宋体" w:cs="宋体"/>
                <w:b w:val="0"/>
                <w:bCs w:val="0"/>
                <w:color w:val="000000"/>
                <w:sz w:val="21"/>
                <w:szCs w:val="21"/>
                <w:highlight w:val="none"/>
              </w:rPr>
              <w:t>标注“▲”的技术参数为重要技术条款，必须满足，否则视为竞标无效。</w:t>
            </w:r>
          </w:p>
        </w:tc>
      </w:tr>
    </w:tbl>
    <w:p>
      <w:pPr>
        <w:keepNext/>
        <w:tabs>
          <w:tab w:val="left" w:pos="426"/>
        </w:tabs>
        <w:spacing w:after="3889" w:afterAutospacing="0" w:line="360" w:lineRule="auto"/>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keepNext/>
        <w:tabs>
          <w:tab w:val="left" w:pos="426"/>
        </w:tabs>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第四章  合同协议书</w:t>
      </w:r>
    </w:p>
    <w:p>
      <w:pPr>
        <w:autoSpaceDE w:val="0"/>
        <w:autoSpaceDN w:val="0"/>
        <w:spacing w:line="200" w:lineRule="exact"/>
        <w:rPr>
          <w:rFonts w:ascii="宋体" w:hAnsi="宋体" w:eastAsia="宋体" w:cs="宋体"/>
          <w:color w:val="auto"/>
          <w:sz w:val="28"/>
          <w:highlight w:val="none"/>
        </w:rPr>
      </w:pPr>
    </w:p>
    <w:p>
      <w:pPr>
        <w:spacing w:line="2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合同协议书（格式）</w:t>
      </w:r>
    </w:p>
    <w:p>
      <w:pPr>
        <w:wordWrap w:val="0"/>
        <w:adjustRightInd/>
        <w:spacing w:line="360" w:lineRule="auto"/>
        <w:ind w:right="332"/>
        <w:jc w:val="both"/>
        <w:rPr>
          <w:rFonts w:ascii="宋体" w:hAnsi="宋体" w:eastAsia="宋体" w:cs="宋体"/>
          <w:bCs/>
          <w:color w:val="auto"/>
          <w:sz w:val="24"/>
          <w:szCs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4"/>
          <w:szCs w:val="24"/>
          <w:highlight w:val="none"/>
        </w:rPr>
        <w:t xml:space="preserve">                                             </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项目名称</w:t>
      </w:r>
      <w:r>
        <w:rPr>
          <w:rStyle w:val="44"/>
          <w:rFonts w:hint="eastAsia" w:asciiTheme="minorEastAsia" w:hAnsiTheme="minorEastAsia" w:eastAsiaTheme="minorEastAsia" w:cstheme="minorEastAsia"/>
          <w:color w:val="auto"/>
          <w:spacing w:val="-20"/>
          <w:sz w:val="24"/>
          <w:szCs w:val="24"/>
          <w:highlight w:val="none"/>
        </w:rPr>
        <w:t>：</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项目编号</w:t>
      </w:r>
      <w:r>
        <w:rPr>
          <w:rStyle w:val="44"/>
          <w:rFonts w:hint="eastAsia" w:asciiTheme="minorEastAsia" w:hAnsiTheme="minorEastAsia" w:eastAsiaTheme="minorEastAsia" w:cstheme="minorEastAsia"/>
          <w:color w:val="auto"/>
          <w:spacing w:val="-20"/>
          <w:sz w:val="24"/>
          <w:szCs w:val="24"/>
          <w:highlight w:val="none"/>
        </w:rPr>
        <w:t>：</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采购单位（甲方）：</w:t>
      </w:r>
      <w:r>
        <w:rPr>
          <w:rStyle w:val="44"/>
          <w:rFonts w:hint="eastAsia" w:asciiTheme="minorEastAsia" w:hAnsiTheme="minorEastAsia" w:eastAsiaTheme="minorEastAsia" w:cstheme="minorEastAsia"/>
          <w:color w:val="auto"/>
          <w:sz w:val="24"/>
          <w:szCs w:val="24"/>
          <w:highlight w:val="none"/>
          <w:u w:val="single" w:color="000000"/>
        </w:rPr>
        <w:t xml:space="preserve">                  </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供 应 商（乙方）：</w:t>
      </w:r>
      <w:r>
        <w:rPr>
          <w:rStyle w:val="44"/>
          <w:rFonts w:hint="eastAsia" w:asciiTheme="minorEastAsia" w:hAnsiTheme="minorEastAsia" w:eastAsiaTheme="minorEastAsia" w:cstheme="minorEastAsia"/>
          <w:color w:val="auto"/>
          <w:sz w:val="24"/>
          <w:szCs w:val="24"/>
          <w:highlight w:val="none"/>
          <w:u w:val="single" w:color="000000"/>
        </w:rPr>
        <w:t xml:space="preserve">                  </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签订地点：                                    签订时间：   年  月  日</w:t>
      </w:r>
    </w:p>
    <w:p>
      <w:pPr>
        <w:spacing w:after="0" w:line="40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根据《中华人民共和国政府采购法》、《中华人民共和国民法典》等法律、法规规定，按照招投标文件（采购文件）规定条款和中标投标人承诺，甲乙双方签订本合同。</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第一条　合同标的</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1.供货一览表</w:t>
      </w:r>
    </w:p>
    <w:tbl>
      <w:tblPr>
        <w:tblStyle w:val="20"/>
        <w:tblW w:w="930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00"/>
        <w:gridCol w:w="860"/>
        <w:gridCol w:w="1233"/>
        <w:gridCol w:w="1210"/>
        <w:gridCol w:w="908"/>
        <w:gridCol w:w="668"/>
        <w:gridCol w:w="947"/>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产品名称</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商标品牌</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生产厂家</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数  量</w:t>
            </w:r>
          </w:p>
        </w:tc>
        <w:tc>
          <w:tcPr>
            <w:tcW w:w="66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单位</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  价</w:t>
            </w:r>
          </w:p>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（元）</w:t>
            </w: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金  额</w:t>
            </w:r>
          </w:p>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4"/>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9300" w:type="dxa"/>
            <w:gridSpan w:val="9"/>
            <w:tcBorders>
              <w:top w:val="single" w:color="000000" w:sz="4" w:space="0"/>
              <w:left w:val="single" w:color="000000" w:sz="4" w:space="0"/>
              <w:bottom w:val="single" w:color="000000" w:sz="4" w:space="0"/>
              <w:right w:val="single" w:color="000000" w:sz="4" w:space="0"/>
            </w:tcBorders>
            <w:vAlign w:val="center"/>
          </w:tcPr>
          <w:p>
            <w:pPr>
              <w:spacing w:after="0" w:line="420" w:lineRule="exact"/>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人民币合计金额：</w:t>
            </w:r>
          </w:p>
        </w:tc>
      </w:tr>
    </w:tbl>
    <w:p>
      <w:pPr>
        <w:spacing w:after="0" w:line="420" w:lineRule="exact"/>
        <w:ind w:right="52"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2.合同合计金额包括货物价款，备件、专用工具、安装、调试、检验、技术培训及技术资料和包装、运输等全部费用。如招投标文件对其另有规定的，从其规定。</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第二条　质量保证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1.乙方所提供的货物型号、技术规格、技术参数等质量必须与招投标文件和承诺相一致。乙方提供的自主创新产品、节能和环保产品必须是列入政府采购清单的产品。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2.乙方所提供的货物必须是全新、未使用的原装产品，且在正常安装、使用和保养条件下，其使用寿命期内各项指标均达到质量要求。</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第三条　权利保证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乙方应保证所提供货物在使用时不会侵犯任何第三方的专利权、商标权、工业设计权或其他权利。</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乙方应按招标文件规定的时间向甲方提供使用货物的有关技术资料。</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乙方保证所交付的货物的所有权完全属于乙方且无任何抵押、质押、查封等产权瑕疵。</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第四条　包装和运输</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1.乙方提供的货物均应按招投标文件要求的包装材料、包装标准、包装方式进行包装，每一包装单元内应附详细的装箱单和质量合格证。</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2.货物的运输方式：</w:t>
      </w:r>
      <w:r>
        <w:rPr>
          <w:rStyle w:val="44"/>
          <w:rFonts w:hint="eastAsia" w:asciiTheme="minorEastAsia" w:hAnsiTheme="minorEastAsia" w:eastAsiaTheme="minorEastAsia" w:cstheme="minorEastAsia"/>
          <w:color w:val="auto"/>
          <w:sz w:val="24"/>
          <w:szCs w:val="24"/>
          <w:highlight w:val="none"/>
          <w:u w:val="single" w:color="000000"/>
        </w:rPr>
        <w:t xml:space="preserve">  不限   </w:t>
      </w:r>
      <w:r>
        <w:rPr>
          <w:rStyle w:val="44"/>
          <w:rFonts w:hint="eastAsia" w:asciiTheme="minorEastAsia" w:hAnsiTheme="minorEastAsia" w:eastAsiaTheme="minorEastAsia" w:cstheme="minorEastAsia"/>
          <w:color w:val="auto"/>
          <w:sz w:val="24"/>
          <w:szCs w:val="24"/>
          <w:highlight w:val="none"/>
        </w:rPr>
        <w:t>。</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3.乙方负责货物运输，货物运输合理损耗及计算方法：</w:t>
      </w:r>
      <w:r>
        <w:rPr>
          <w:rStyle w:val="44"/>
          <w:rFonts w:hint="eastAsia" w:asciiTheme="minorEastAsia" w:hAnsiTheme="minorEastAsia" w:eastAsiaTheme="minorEastAsia" w:cstheme="minorEastAsia"/>
          <w:color w:val="auto"/>
          <w:sz w:val="24"/>
          <w:szCs w:val="24"/>
          <w:highlight w:val="none"/>
          <w:u w:val="single" w:color="000000"/>
        </w:rPr>
        <w:t xml:space="preserve">  本项目合同不接受损耗 </w:t>
      </w:r>
      <w:r>
        <w:rPr>
          <w:rStyle w:val="44"/>
          <w:rFonts w:hint="eastAsia" w:asciiTheme="minorEastAsia" w:hAnsiTheme="minorEastAsia" w:eastAsiaTheme="minorEastAsia" w:cstheme="minorEastAsia"/>
          <w:color w:val="auto"/>
          <w:sz w:val="24"/>
          <w:szCs w:val="24"/>
          <w:highlight w:val="none"/>
        </w:rPr>
        <w:t>。</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第五条　交付和验收</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1.交付时间：合同签订之日起</w:t>
      </w:r>
      <w:r>
        <w:rPr>
          <w:rStyle w:val="44"/>
          <w:rFonts w:hint="eastAsia" w:asciiTheme="minorEastAsia" w:hAnsiTheme="minorEastAsia" w:eastAsiaTheme="minorEastAsia" w:cstheme="minorEastAsia"/>
          <w:color w:val="auto"/>
          <w:sz w:val="24"/>
          <w:szCs w:val="24"/>
          <w:highlight w:val="none"/>
          <w:lang w:val="en-US"/>
        </w:rPr>
        <w:t>2</w:t>
      </w:r>
      <w:r>
        <w:rPr>
          <w:rStyle w:val="44"/>
          <w:rFonts w:hint="eastAsia" w:asciiTheme="minorEastAsia" w:hAnsiTheme="minorEastAsia" w:eastAsiaTheme="minorEastAsia" w:cstheme="minorEastAsia"/>
          <w:color w:val="auto"/>
          <w:sz w:val="24"/>
          <w:szCs w:val="24"/>
          <w:highlight w:val="none"/>
        </w:rPr>
        <w:t>0日内完成供货，调试，通过验收并交付使用。</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2.交付地点：采购人指定地点。</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3.乙方提供不符合招投标文件和本合同规定的货物，甲方有权拒绝接受。</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4.乙方应将所提供货物的装箱清单、用户手册、原厂保修卡、随机资料、工具和备品、备件等交付给甲方，如有缺失应及时补齐，否则视为逾期交货。</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5.甲方应当在到货（安装、调试完）后七个工作日内进行验收，逾期不验收的，乙方可视同验收合格。验收合格后由甲乙双方签署货物验收单并加盖采购单位公章，甲乙双方各执一份。</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6.甲方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7.甲方对验收有异议的，在验收后十个工作日内以书面形式向乙方提出，乙方应自收到甲方书面异议后</w:t>
      </w:r>
      <w:r>
        <w:rPr>
          <w:rStyle w:val="44"/>
          <w:rFonts w:hint="eastAsia" w:asciiTheme="minorEastAsia" w:hAnsiTheme="minorEastAsia" w:eastAsiaTheme="minorEastAsia" w:cstheme="minorEastAsia"/>
          <w:color w:val="auto"/>
          <w:sz w:val="24"/>
          <w:szCs w:val="24"/>
          <w:highlight w:val="none"/>
          <w:u w:val="single" w:color="000000"/>
        </w:rPr>
        <w:t xml:space="preserve"> 10个工作 </w:t>
      </w:r>
      <w:r>
        <w:rPr>
          <w:rStyle w:val="44"/>
          <w:rFonts w:hint="eastAsia" w:asciiTheme="minorEastAsia" w:hAnsiTheme="minorEastAsia" w:eastAsiaTheme="minorEastAsia" w:cstheme="minorEastAsia"/>
          <w:color w:val="auto"/>
          <w:sz w:val="24"/>
          <w:szCs w:val="24"/>
          <w:highlight w:val="none"/>
        </w:rPr>
        <w:t>日内及时予以解决。</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第六条　安装和培训</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1.甲方应协调解决必要安装条件（如场地、电源、水源等）。</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2.乙方负责甲方有关人员的培训。培训时间、地点：</w:t>
      </w:r>
      <w:r>
        <w:rPr>
          <w:rStyle w:val="44"/>
          <w:rFonts w:hint="eastAsia" w:asciiTheme="minorEastAsia" w:hAnsiTheme="minorEastAsia" w:eastAsiaTheme="minorEastAsia" w:cstheme="minorEastAsia"/>
          <w:color w:val="auto"/>
          <w:sz w:val="24"/>
          <w:szCs w:val="24"/>
          <w:highlight w:val="none"/>
          <w:u w:val="single" w:color="000000"/>
        </w:rPr>
        <w:t>见《售后服务承诺书》。</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第七条  售后服务、质保期</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1.乙方应按照国家有关法律法规和“三包”规定以及招投标文件和本合同所附的《服务承诺》，为甲方提供售后服务。</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2.货物质保期：</w:t>
      </w:r>
      <w:r>
        <w:rPr>
          <w:rStyle w:val="44"/>
          <w:rFonts w:hint="eastAsia" w:asciiTheme="minorEastAsia" w:hAnsiTheme="minorEastAsia" w:eastAsiaTheme="minorEastAsia" w:cstheme="minorEastAsia"/>
          <w:color w:val="auto"/>
          <w:sz w:val="24"/>
          <w:szCs w:val="24"/>
          <w:highlight w:val="none"/>
          <w:u w:val="single" w:color="000000"/>
        </w:rPr>
        <w:t xml:space="preserve">                。</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u w:val="single"/>
        </w:rPr>
      </w:pPr>
      <w:r>
        <w:rPr>
          <w:rStyle w:val="44"/>
          <w:rFonts w:hint="eastAsia" w:asciiTheme="minorEastAsia" w:hAnsiTheme="minorEastAsia" w:eastAsiaTheme="minorEastAsia" w:cstheme="minorEastAsia"/>
          <w:color w:val="auto"/>
          <w:sz w:val="24"/>
          <w:szCs w:val="24"/>
          <w:highlight w:val="none"/>
        </w:rPr>
        <w:t>3.乙方提供的服务承诺和售后服务及保修期责任等其它具体约定事项。（见合同附件）</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第八条　付款方式</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Cs/>
          <w:color w:val="auto"/>
          <w:sz w:val="24"/>
          <w:szCs w:val="24"/>
          <w:highlight w:val="none"/>
        </w:rPr>
        <w:t>1.</w:t>
      </w:r>
      <w:r>
        <w:rPr>
          <w:rStyle w:val="44"/>
          <w:rFonts w:hint="eastAsia" w:asciiTheme="minorEastAsia" w:hAnsiTheme="minorEastAsia" w:eastAsiaTheme="minorEastAsia" w:cstheme="minorEastAsia"/>
          <w:color w:val="auto"/>
          <w:sz w:val="24"/>
          <w:szCs w:val="24"/>
          <w:highlight w:val="none"/>
        </w:rPr>
        <w:t>当采购数量与实际使用数量不一致时，乙方应根据实际使用量供货，合同的最终结算金额按实际使用量乘以成交单价进行计算。</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2.资金性质：2025年中央补助广西医疗服务与保障能力提升资金。</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bCs/>
          <w:color w:val="auto"/>
          <w:sz w:val="24"/>
          <w:szCs w:val="24"/>
          <w:highlight w:val="none"/>
        </w:rPr>
        <w:t>3.付款方式：</w:t>
      </w:r>
      <w:r>
        <w:rPr>
          <w:rFonts w:hint="eastAsia" w:ascii="宋体" w:hAnsi="宋体" w:eastAsia="宋体" w:cs="Arial"/>
          <w:bCs/>
          <w:color w:val="000000"/>
          <w:sz w:val="24"/>
          <w:szCs w:val="24"/>
          <w:highlight w:val="none"/>
          <w:lang w:val="en-US" w:eastAsia="zh-CN"/>
        </w:rPr>
        <w:t>（1）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spacing w:after="0" w:line="420" w:lineRule="exact"/>
        <w:ind w:left="-61" w:firstLine="514"/>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第九条  税费</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本合同执行中相关的一切税费均由乙方负担。</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第十条  质量保证及售后服务</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1.乙方应按招标文件规定的货物性能、技术要求、质量标准向甲方提供未经使用的全新产品。不符合要求的，根据实际情况，经双方协商，可按以下办法处理：</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⑴更换：由乙方承担所发生的全部费用。</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⑵贬值处理：由甲乙双方合议定价。</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⑶退货处理：乙方应退还甲方支付的合同款，同时应承担该货物的直接费用（运输、保险、检验、货款利息及银行手续费等）。</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2.如在使用过程中发生质量问题，乙方在接到甲方通知后在</w:t>
      </w:r>
      <w:r>
        <w:rPr>
          <w:rStyle w:val="44"/>
          <w:rFonts w:hint="eastAsia" w:asciiTheme="minorEastAsia" w:hAnsiTheme="minorEastAsia" w:eastAsiaTheme="minorEastAsia" w:cstheme="minorEastAsia"/>
          <w:color w:val="auto"/>
          <w:sz w:val="24"/>
          <w:szCs w:val="24"/>
          <w:highlight w:val="none"/>
          <w:u w:val="single" w:color="000000"/>
        </w:rPr>
        <w:t xml:space="preserve"> 乙方售后服务承诺 </w:t>
      </w:r>
      <w:r>
        <w:rPr>
          <w:rStyle w:val="44"/>
          <w:rFonts w:hint="eastAsia" w:asciiTheme="minorEastAsia" w:hAnsiTheme="minorEastAsia" w:eastAsiaTheme="minorEastAsia" w:cstheme="minorEastAsia"/>
          <w:color w:val="auto"/>
          <w:sz w:val="24"/>
          <w:szCs w:val="24"/>
          <w:highlight w:val="none"/>
        </w:rPr>
        <w:t>小时内到达甲方现场处理。</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3.在质保期内，乙方应对货物出现的质量及安全问题负责处理解决并承担一切费用。</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4.上述的货物质保期按</w:t>
      </w:r>
      <w:r>
        <w:rPr>
          <w:rStyle w:val="44"/>
          <w:rFonts w:hint="eastAsia" w:asciiTheme="minorEastAsia" w:hAnsiTheme="minorEastAsia" w:eastAsiaTheme="minorEastAsia" w:cstheme="minorEastAsia"/>
          <w:color w:val="auto"/>
          <w:sz w:val="24"/>
          <w:szCs w:val="24"/>
          <w:highlight w:val="none"/>
          <w:u w:val="single" w:color="000000"/>
        </w:rPr>
        <w:t>《商务响应表》承诺</w:t>
      </w:r>
      <w:r>
        <w:rPr>
          <w:rStyle w:val="44"/>
          <w:rFonts w:hint="eastAsia" w:asciiTheme="minorEastAsia" w:hAnsiTheme="minorEastAsia" w:eastAsiaTheme="minorEastAsia" w:cstheme="minorEastAsia"/>
          <w:color w:val="auto"/>
          <w:sz w:val="24"/>
          <w:szCs w:val="24"/>
          <w:highlight w:val="none"/>
        </w:rPr>
        <w:t>，因人为因素出现的故障不在免费保修范围内。超过保修期的机器设备，终生维修，维修时只收部件成本费。</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第十一条  调试和验收</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1.乙方所提供的货物与投标文件中承诺的技术参数不符的或未提供以上货物去采购人处进行验收的，甲方将报同级财政监督管理部门进行处理，由此导致整批货物被拒收或索赔而引发的所有损失由乙方承担。</w:t>
      </w:r>
    </w:p>
    <w:p>
      <w:pPr>
        <w:spacing w:after="0" w:line="420" w:lineRule="exact"/>
        <w:ind w:left="-61" w:firstLine="514"/>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甲方有权要求乙方提供所投设备到采购单位进行参数性能检测，并提供生产厂家盖章的检测报告原件备查，不能提供的则有权不予验收。产品性能检测合格后封存，待项目验收时对安装设备与封存设备对比，如出现安装和封存的设备不符，甲方有权拒绝项目验收，并加以法律诉讼，追讨损失。</w:t>
      </w:r>
    </w:p>
    <w:p>
      <w:pPr>
        <w:pStyle w:val="46"/>
        <w:spacing w:after="0" w:line="420" w:lineRule="exact"/>
        <w:ind w:firstLine="472" w:firstLineChars="196"/>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第十二条  货物包装、发运及运输</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1.乙方应在货物发运前对其进行满足运输距离、防潮、防震、防锈和防破损装卸等要求包装，以保证货物安全运达甲方指定地点。</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2.使用说明书、质量检验证明书、随配附件和工具以及清单一并附于货物内。</w:t>
      </w:r>
    </w:p>
    <w:p>
      <w:pPr>
        <w:pStyle w:val="46"/>
        <w:spacing w:after="0" w:line="420" w:lineRule="exact"/>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    3.乙方在货物发运手续办理完毕后二十四小时内或货到甲方四十八小时前通知甲方，以准备接货。</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4.货物在交付甲方前发生的风险均由乙方负责。</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5.货</w:t>
      </w:r>
      <w:r>
        <w:rPr>
          <w:rStyle w:val="44"/>
          <w:rFonts w:hint="eastAsia" w:asciiTheme="minorEastAsia" w:hAnsiTheme="minorEastAsia" w:eastAsiaTheme="minorEastAsia" w:cstheme="minorEastAsia"/>
          <w:color w:val="auto"/>
          <w:spacing w:val="-8"/>
          <w:sz w:val="24"/>
          <w:szCs w:val="24"/>
          <w:highlight w:val="none"/>
        </w:rPr>
        <w:t>物在规定的交付期限内由乙方送达甲方指定的地点视为交付，乙方同时需通知甲方货物已送达。</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第十三条　违约责任</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pacing w:after="0" w:line="420" w:lineRule="exact"/>
        <w:ind w:firstLine="540" w:firstLineChars="225"/>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2.乙方提供的货物如侵犯了第三方合法权益而引发的任何纠纷或诉讼，均由乙方负责交涉并承担全部责任。</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3.因包装、运输引起的货物损坏，按质量不合格处罚。</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4.乙方未按本合同和投标文件中规定的服务承诺提供售后服务的，乙方应按本合同合计金额</w:t>
      </w:r>
      <w:r>
        <w:rPr>
          <w:rStyle w:val="44"/>
          <w:rFonts w:hint="eastAsia" w:asciiTheme="minorEastAsia" w:hAnsiTheme="minorEastAsia" w:eastAsiaTheme="minorEastAsia" w:cstheme="minorEastAsia"/>
          <w:color w:val="auto"/>
          <w:sz w:val="24"/>
          <w:szCs w:val="24"/>
          <w:highlight w:val="none"/>
          <w:u w:val="single" w:color="000000"/>
        </w:rPr>
        <w:t xml:space="preserve"> 5%</w:t>
      </w:r>
      <w:r>
        <w:rPr>
          <w:rStyle w:val="44"/>
          <w:rFonts w:hint="eastAsia" w:asciiTheme="minorEastAsia" w:hAnsiTheme="minorEastAsia" w:eastAsiaTheme="minorEastAsia" w:cstheme="minorEastAsia"/>
          <w:color w:val="auto"/>
          <w:sz w:val="24"/>
          <w:szCs w:val="24"/>
          <w:highlight w:val="none"/>
        </w:rPr>
        <w:t>向甲方支付违约金。</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5.乙方提供的货物在质量保证期内，因设计、工艺或材料的缺陷和其它质量原因造成的问题，由乙方负责，费用从质量保证金中扣除，不足另补。</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6.其它违约行为按违约货款额5%收取违约金并赔偿经济损失。</w:t>
      </w:r>
    </w:p>
    <w:p>
      <w:pPr>
        <w:pStyle w:val="46"/>
        <w:spacing w:after="0" w:line="420" w:lineRule="exact"/>
        <w:ind w:firstLine="472" w:firstLineChars="196"/>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第十四条  不可抗力事件处理</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1.在合同有效期内，任何一方因不可抗力事件导致不能履行合同，则合同履行期可延长，其延长期与不可抗力影响期相同。</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2.不可抗力事件发生后，应立即通知对方，并寄送有关权威机构出具的证明。</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3.不可抗力事件延续一百二十天以上，双方应通过友好协商，确定是否继续履行合同。</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第十五条  合同争议解决</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1.因货物质量问题发生争议的，应邀请国家认可的质量检测机构对货物质量进行鉴定。货物符合标准的，鉴定费由甲方承担；货物不符合标准的，鉴定费由乙方承担。</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2.因履行本合同引起的或与本合同有关的争议，甲乙双方应首先通过友好协商解决，如果协商不能解决，向甲方所在地人民法院提起诉讼。</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3.诉讼期间，本合同继续履行。</w:t>
      </w:r>
    </w:p>
    <w:p>
      <w:pPr>
        <w:pStyle w:val="46"/>
        <w:spacing w:after="0" w:line="420" w:lineRule="exact"/>
        <w:ind w:firstLine="472" w:firstLineChars="196"/>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第十六条  合同生效及其它</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1.合同经双方法定代表人（负责人）或被授权代表签字并加盖单位公章后生效。</w:t>
      </w:r>
    </w:p>
    <w:p>
      <w:pPr>
        <w:pStyle w:val="46"/>
        <w:spacing w:after="0" w:line="420" w:lineRule="exact"/>
        <w:ind w:firstLine="480" w:firstLine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2.合同执行中涉及采购资金和采购内容修改或补充的，须经财政部门审批，并签书面补充协议报财政部门备案，方可作为主合同不可分割的一部分。</w:t>
      </w:r>
    </w:p>
    <w:p>
      <w:pPr>
        <w:pStyle w:val="46"/>
        <w:spacing w:after="0" w:line="420" w:lineRule="exact"/>
        <w:ind w:left="440" w:leftChars="200"/>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3.本合同未尽事宜，遵照《合同法》有关条文执行。</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第十七条　合同的变更、终止与转让</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1.除《中华人民共和国政府采购法》第五十条规定的情形外，本合同一经签订，甲乙双方不得擅自变更、中止或终止。</w:t>
      </w:r>
    </w:p>
    <w:p>
      <w:pPr>
        <w:spacing w:after="0" w:line="420" w:lineRule="exact"/>
        <w:ind w:firstLine="480"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2.乙方不得擅自转让（无进口资格的投标人委托进口货物除外）其应履行的合同义务。</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第十八条　签订本合同依据</w:t>
      </w:r>
    </w:p>
    <w:p>
      <w:pPr>
        <w:pStyle w:val="46"/>
        <w:spacing w:after="0" w:line="420" w:lineRule="exact"/>
        <w:ind w:left="440" w:leftChars="200"/>
        <w:outlineLvl w:val="1"/>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1.政府采购招标文件；</w:t>
      </w:r>
    </w:p>
    <w:p>
      <w:pPr>
        <w:pStyle w:val="46"/>
        <w:spacing w:after="0" w:line="420" w:lineRule="exact"/>
        <w:ind w:left="440" w:leftChars="200"/>
        <w:outlineLvl w:val="1"/>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2.乙方提供的采购投标（或应答）文件；</w:t>
      </w:r>
    </w:p>
    <w:p>
      <w:pPr>
        <w:pStyle w:val="46"/>
        <w:spacing w:after="0" w:line="420" w:lineRule="exact"/>
        <w:ind w:left="440" w:leftChars="200"/>
        <w:outlineLvl w:val="1"/>
        <w:rPr>
          <w:rStyle w:val="44"/>
          <w:rFonts w:hint="eastAsia" w:asciiTheme="minorEastAsia" w:hAnsiTheme="minorEastAsia" w:eastAsiaTheme="minorEastAsia" w:cstheme="minorEastAsia"/>
          <w:b/>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3.中标或成交通知书。</w:t>
      </w:r>
    </w:p>
    <w:p>
      <w:pPr>
        <w:spacing w:after="0" w:line="420" w:lineRule="exact"/>
        <w:ind w:firstLine="482" w:firstLineChars="20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b/>
          <w:color w:val="auto"/>
          <w:sz w:val="24"/>
          <w:szCs w:val="24"/>
          <w:highlight w:val="none"/>
        </w:rPr>
        <w:t>第十九条　</w:t>
      </w:r>
      <w:r>
        <w:rPr>
          <w:rStyle w:val="44"/>
          <w:rFonts w:hint="eastAsia" w:asciiTheme="minorEastAsia" w:hAnsiTheme="minorEastAsia" w:eastAsiaTheme="minorEastAsia" w:cstheme="minorEastAsia"/>
          <w:color w:val="auto"/>
          <w:sz w:val="24"/>
          <w:szCs w:val="24"/>
          <w:highlight w:val="none"/>
        </w:rPr>
        <w:t>本合同一式五份，具有同等法律效力，采购代理机构一份，甲乙双方各二份。本合同甲乙双方签字盖章后生效。</w:t>
      </w:r>
    </w:p>
    <w:p>
      <w:pPr>
        <w:pStyle w:val="14"/>
        <w:spacing w:after="0"/>
        <w:textAlignment w:val="baseline"/>
        <w:rPr>
          <w:rStyle w:val="44"/>
          <w:rFonts w:hint="eastAsia" w:asciiTheme="minorEastAsia" w:hAnsiTheme="minorEastAsia" w:eastAsiaTheme="minorEastAsia" w:cstheme="minorEastAsia"/>
          <w:color w:val="auto"/>
          <w:sz w:val="24"/>
          <w:szCs w:val="24"/>
          <w:highlight w:val="none"/>
        </w:rPr>
      </w:pPr>
    </w:p>
    <w:p>
      <w:pPr>
        <w:pStyle w:val="14"/>
        <w:spacing w:after="0"/>
        <w:textAlignment w:val="baseline"/>
        <w:rPr>
          <w:rStyle w:val="44"/>
          <w:rFonts w:hint="eastAsia" w:asciiTheme="minorEastAsia" w:hAnsiTheme="minorEastAsia" w:eastAsiaTheme="minorEastAsia" w:cstheme="minorEastAsia"/>
          <w:color w:val="auto"/>
          <w:sz w:val="24"/>
          <w:szCs w:val="24"/>
          <w:highlight w:val="none"/>
        </w:rPr>
      </w:pPr>
    </w:p>
    <w:tbl>
      <w:tblPr>
        <w:tblStyle w:val="20"/>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4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甲方（章）           </w:t>
            </w:r>
          </w:p>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p>
          <w:p>
            <w:pPr>
              <w:spacing w:after="0"/>
              <w:ind w:firstLine="1080" w:firstLineChars="450"/>
              <w:jc w:val="right"/>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年   月   日</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乙方（章）              </w:t>
            </w:r>
          </w:p>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p>
          <w:p>
            <w:pPr>
              <w:spacing w:after="0"/>
              <w:jc w:val="right"/>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单位地址：</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法定代表人（负责人）：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法定代表人（负责人）：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委托代理人：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电话：</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电子邮箱：</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开户银行：</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账号：</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纳税人识别号或统一社会信用代码：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纳税人识别号或统一社会信用代码：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6"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邮政编码：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4"/>
                <w:rFonts w:hint="eastAsia" w:asciiTheme="minorEastAsia" w:hAnsiTheme="minorEastAsia" w:eastAsiaTheme="minorEastAsia" w:cstheme="minorEastAsia"/>
                <w:color w:val="auto"/>
                <w:sz w:val="24"/>
                <w:szCs w:val="24"/>
                <w:highlight w:val="none"/>
              </w:rPr>
            </w:pPr>
            <w:r>
              <w:rPr>
                <w:rStyle w:val="44"/>
                <w:rFonts w:hint="eastAsia" w:asciiTheme="minorEastAsia" w:hAnsiTheme="minorEastAsia" w:eastAsiaTheme="minorEastAsia" w:cstheme="minorEastAsia"/>
                <w:color w:val="auto"/>
                <w:sz w:val="24"/>
                <w:szCs w:val="24"/>
                <w:highlight w:val="none"/>
              </w:rPr>
              <w:t>邮政编码：</w:t>
            </w:r>
          </w:p>
        </w:tc>
      </w:tr>
    </w:tbl>
    <w:p>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p>
    <w:p>
      <w:pPr>
        <w:tabs>
          <w:tab w:val="left" w:pos="7380"/>
        </w:tabs>
        <w:spacing w:line="360" w:lineRule="auto"/>
        <w:jc w:val="center"/>
        <w:rPr>
          <w:rFonts w:hint="eastAsia" w:asciiTheme="minorEastAsia" w:hAnsiTheme="minorEastAsia" w:eastAsiaTheme="minorEastAsia" w:cstheme="minorEastAsia"/>
          <w:color w:val="auto"/>
          <w:sz w:val="24"/>
          <w:szCs w:val="24"/>
          <w:highlight w:val="none"/>
        </w:rPr>
        <w:sectPr>
          <w:footerReference r:id="rId9" w:type="default"/>
          <w:pgSz w:w="11906" w:h="16838"/>
          <w:pgMar w:top="1440" w:right="1080" w:bottom="1440" w:left="1080" w:header="720" w:footer="720" w:gutter="0"/>
          <w:pgNumType w:fmt="decimal"/>
          <w:cols w:space="720" w:num="1"/>
          <w:docGrid w:type="lines" w:linePitch="331" w:charSpace="0"/>
        </w:sectPr>
      </w:pPr>
    </w:p>
    <w:p>
      <w:pPr>
        <w:keepNext/>
        <w:spacing w:line="40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响应文件格式</w:t>
      </w:r>
    </w:p>
    <w:p>
      <w:pPr>
        <w:rPr>
          <w:rFonts w:ascii="宋体" w:hAnsi="宋体" w:eastAsia="宋体" w:cs="宋体"/>
          <w:color w:val="auto"/>
          <w:sz w:val="24"/>
          <w:highlight w:val="none"/>
        </w:rPr>
      </w:pPr>
      <w:r>
        <w:rPr>
          <w:rFonts w:hint="eastAsia" w:ascii="宋体" w:hAnsi="宋体" w:eastAsia="宋体" w:cs="宋体"/>
          <w:color w:val="auto"/>
          <w:sz w:val="24"/>
          <w:highlight w:val="none"/>
        </w:rPr>
        <w:t>（用于响应文件封面）</w:t>
      </w:r>
    </w:p>
    <w:p>
      <w:pPr>
        <w:rPr>
          <w:rFonts w:ascii="宋体" w:hAnsi="宋体" w:eastAsia="宋体" w:cs="宋体"/>
          <w:color w:val="auto"/>
          <w:sz w:val="28"/>
          <w:highlight w:val="none"/>
        </w:rPr>
      </w:pPr>
    </w:p>
    <w:p>
      <w:pPr>
        <w:wordWrap w:val="0"/>
        <w:rPr>
          <w:b/>
          <w:color w:val="auto"/>
          <w:sz w:val="32"/>
          <w:szCs w:val="32"/>
          <w:highlight w:val="none"/>
        </w:rPr>
      </w:pPr>
      <w:r>
        <w:rPr>
          <w:rFonts w:hint="eastAsia"/>
          <w:b/>
          <w:color w:val="auto"/>
          <w:sz w:val="32"/>
          <w:szCs w:val="32"/>
          <w:highlight w:val="none"/>
        </w:rPr>
        <w:t>一、报价文件格式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1.报价文件封面格式：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jc w:val="center"/>
        <w:rPr>
          <w:rFonts w:ascii="宋体" w:hAnsi="宋体"/>
          <w:bCs/>
          <w:color w:val="auto"/>
          <w:sz w:val="24"/>
          <w:szCs w:val="20"/>
          <w:highlight w:val="none"/>
        </w:rPr>
      </w:pPr>
      <w:r>
        <w:rPr>
          <w:rFonts w:hint="eastAsia" w:ascii="宋体" w:hAnsi="宋体"/>
          <w:bCs/>
          <w:color w:val="auto"/>
          <w:sz w:val="24"/>
          <w:szCs w:val="20"/>
          <w:highlight w:val="none"/>
        </w:rPr>
        <w:t>正/副本</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8"/>
        <w:wordWrap w:val="0"/>
        <w:spacing w:before="50" w:after="50"/>
        <w:ind w:firstLine="0"/>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p>
    <w:p>
      <w:pPr>
        <w:pStyle w:val="8"/>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both"/>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2.报价文件目录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both"/>
        <w:rPr>
          <w:rFonts w:ascii="宋体" w:hAnsi="宋体" w:eastAsia="宋体" w:cs="宋体"/>
          <w:b/>
          <w:bCs/>
          <w:color w:val="auto"/>
          <w:sz w:val="28"/>
          <w:szCs w:val="28"/>
          <w:highlight w:val="none"/>
        </w:rPr>
      </w:pPr>
    </w:p>
    <w:p>
      <w:pPr>
        <w:jc w:val="center"/>
        <w:rPr>
          <w:rFonts w:ascii="宋体" w:hAnsi="宋体" w:eastAsia="宋体" w:cs="宋体"/>
          <w:b/>
          <w:color w:val="auto"/>
          <w:sz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highlight w:val="none"/>
        </w:rPr>
        <w:t>竞标函</w:t>
      </w:r>
      <w:r>
        <w:rPr>
          <w:rFonts w:hint="eastAsia" w:ascii="宋体" w:hAnsi="宋体" w:eastAsia="宋体" w:cs="宋体"/>
          <w:b/>
          <w:color w:val="auto"/>
          <w:sz w:val="24"/>
          <w:highlight w:val="none"/>
        </w:rPr>
        <w:t>（格式）</w:t>
      </w:r>
    </w:p>
    <w:p>
      <w:pPr>
        <w:spacing w:line="440" w:lineRule="exact"/>
        <w:rPr>
          <w:rFonts w:ascii="宋体" w:hAnsi="宋体" w:eastAsia="宋体" w:cs="宋体"/>
          <w:b/>
          <w:color w:val="auto"/>
          <w:sz w:val="24"/>
          <w:highlight w:val="none"/>
          <w:u w:val="single"/>
        </w:rPr>
      </w:pPr>
      <w:r>
        <w:rPr>
          <w:rFonts w:hint="eastAsia" w:ascii="宋体" w:hAnsi="宋体" w:eastAsia="宋体" w:cs="宋体"/>
          <w:bCs/>
          <w:color w:val="auto"/>
          <w:sz w:val="24"/>
          <w:highlight w:val="none"/>
          <w:u w:val="single"/>
        </w:rPr>
        <w:t>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项目的竞争性谈判公告（项目编号：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 经正式授权并代表供应商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（供应商名称）提交响应文件，正本 </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 供应商已详细审查全部“谈判文件”，包括修改文件（如有的话）以及全部参考资料和有关附件，已经了解我方对于谈判文件、采购过程、采购结果有依法进行询问、质疑、投诉的权利及相关渠道和要求。</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 供应商在参与竞争性谈判之前已经与贵方进行了充分的沟通，完全理解并接受响应文件的各项规定和要求，对响应文件的合理性、合法性不再有异议。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 本竞标有效期自开标日起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 如成交，本响应文件至本项目合同履行完毕止均保持有效，本供应商将按“谈判文件”及政府采购法律、法规的规定履行合同责任和义务。</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 供应商同意本谈判文件中 “ 竞标 报价表 ” 和成交后签订的采购合同可用于公示，其中所有内容不涉及 竞 标人商业秘密。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 供应商同意按照贵方要求提供与投标有关的一切数据或资料。</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 与本竞标有关的一切正式往来信函请寄：</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（单位名称并加盖公章）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 </w:t>
      </w:r>
    </w:p>
    <w:p>
      <w:pPr>
        <w:tabs>
          <w:tab w:val="left" w:pos="3479"/>
        </w:tabs>
        <w:wordWrap w:val="0"/>
        <w:spacing w:line="520" w:lineRule="exact"/>
        <w:jc w:val="center"/>
        <w:rPr>
          <w:rFonts w:ascii="方正小标宋简体" w:hAnsi="方正小标宋简体" w:eastAsia="方正小标宋简体" w:cs="方正小标宋简体"/>
          <w:bCs/>
          <w:color w:val="auto"/>
          <w:sz w:val="44"/>
          <w:szCs w:val="44"/>
          <w:highlight w:val="none"/>
        </w:rPr>
      </w:pPr>
    </w:p>
    <w:p>
      <w:pPr>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竞标报价表（格式）</w:t>
      </w:r>
    </w:p>
    <w:p>
      <w:pPr>
        <w:wordWrap w:val="0"/>
        <w:spacing w:line="520" w:lineRule="exact"/>
        <w:jc w:val="center"/>
        <w:rPr>
          <w:rFonts w:ascii="方正小标宋简体" w:hAnsi="方正小标宋简体" w:eastAsia="方正小标宋简体" w:cs="方正小标宋简体"/>
          <w:bCs/>
          <w:color w:val="auto"/>
          <w:sz w:val="32"/>
          <w:szCs w:val="32"/>
          <w:highlight w:val="none"/>
        </w:rPr>
      </w:pP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                                          分标（如有）：</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p>
    <w:tbl>
      <w:tblPr>
        <w:tblStyle w:val="20"/>
        <w:tblW w:w="10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070"/>
        <w:gridCol w:w="870"/>
        <w:gridCol w:w="1065"/>
        <w:gridCol w:w="1200"/>
        <w:gridCol w:w="1095"/>
        <w:gridCol w:w="1095"/>
        <w:gridCol w:w="1095"/>
        <w:gridCol w:w="1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数量及单位</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②（元）</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竞标报价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③=①×②（元）</w:t>
            </w: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备注（如有）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825" w:type="dxa"/>
            <w:gridSpan w:val="9"/>
            <w:tcBorders>
              <w:top w:val="single" w:color="auto" w:sz="4" w:space="0"/>
              <w:left w:val="single" w:color="auto" w:sz="4" w:space="0"/>
              <w:bottom w:val="single" w:color="auto" w:sz="4" w:space="0"/>
              <w:right w:val="single" w:color="auto" w:sz="4" w:space="0"/>
            </w:tcBorders>
          </w:tcPr>
          <w:p>
            <w:pPr>
              <w:wordWrap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合计金额大写：人民币（¥）</w:t>
            </w:r>
          </w:p>
          <w:p>
            <w:pPr>
              <w:wordWrap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pPr>
        <w:wordWrap w:val="0"/>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以上竞标报价表中“货物名称、数量及单位、品牌、规格型号、制造商、产品合格证”必须如实填写完整，品牌、规格型号没有则填无，填写有缺漏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2.供应商的报价表必须加盖供应商公章并由法定代表人或者委托代理人签字或者签章，</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报价一经涂改，应在涂改处加盖供应商公章或者加盖公章或者由法定代表人或者授权委托人签字（或者签章）</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pPr>
        <w:wordWrap w:val="0"/>
        <w:spacing w:line="360" w:lineRule="auto"/>
        <w:ind w:firstLine="480" w:firstLineChars="200"/>
        <w:contextualSpacing/>
        <w:rPr>
          <w:rFonts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 xml:space="preserve"> 盖章处须加盖联合体牵头人公章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pPr>
        <w:wordWrap w:val="0"/>
        <w:spacing w:line="360" w:lineRule="auto"/>
        <w:ind w:right="-856" w:rightChars="-389" w:firstLine="2640" w:firstLineChars="1100"/>
        <w:contextualSpacing/>
        <w:rPr>
          <w:rFonts w:ascii="宋体" w:hAnsi="宋体" w:eastAsia="宋体" w:cs="宋体"/>
          <w:color w:val="auto"/>
          <w:sz w:val="24"/>
          <w:highlight w:val="none"/>
        </w:rPr>
      </w:pP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法定代表人或者委托代理人（签字或者签章）：                    </w:t>
      </w: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供应商（公章）：      </w:t>
      </w:r>
    </w:p>
    <w:p>
      <w:pPr>
        <w:wordWrap w:val="0"/>
        <w:spacing w:line="360" w:lineRule="auto"/>
        <w:ind w:right="-856" w:rightChars="-389"/>
        <w:contextualSpacing/>
        <w:rPr>
          <w:rFonts w:ascii="宋体" w:hAnsi="宋体" w:eastAsia="宋体" w:cs="宋体"/>
          <w:b/>
          <w:color w:val="auto"/>
          <w:sz w:val="32"/>
          <w:szCs w:val="32"/>
          <w:highlight w:val="none"/>
        </w:rPr>
      </w:pPr>
      <w:r>
        <w:rPr>
          <w:rFonts w:hint="eastAsia" w:ascii="宋体" w:hAnsi="宋体" w:eastAsia="宋体" w:cs="宋体"/>
          <w:color w:val="auto"/>
          <w:sz w:val="24"/>
          <w:highlight w:val="none"/>
        </w:rPr>
        <w:t xml:space="preserve">                      日期：   年   月   日</w:t>
      </w:r>
    </w:p>
    <w:p>
      <w:pPr>
        <w:spacing w:line="500" w:lineRule="exact"/>
        <w:rPr>
          <w:rFonts w:ascii="宋体" w:hAnsi="宋体" w:eastAsia="宋体" w:cs="宋体"/>
          <w:color w:val="auto"/>
          <w:sz w:val="28"/>
          <w:highlight w:val="none"/>
        </w:rPr>
      </w:pPr>
    </w:p>
    <w:p>
      <w:pPr>
        <w:keepNext/>
        <w:keepLines/>
        <w:spacing w:line="380" w:lineRule="atLeast"/>
        <w:jc w:val="center"/>
        <w:rPr>
          <w:rFonts w:ascii="宋体" w:hAnsi="宋体" w:eastAsia="宋体" w:cs="宋体"/>
          <w:color w:val="auto"/>
          <w:highlight w:val="none"/>
        </w:rPr>
      </w:pPr>
    </w:p>
    <w:p>
      <w:pPr>
        <w:pStyle w:val="8"/>
        <w:ind w:firstLine="0"/>
        <w:rPr>
          <w:rFonts w:ascii="宋体" w:hAnsi="宋体" w:eastAsia="宋体" w:cs="宋体"/>
          <w:color w:val="auto"/>
          <w:highlight w:val="none"/>
        </w:rPr>
      </w:pPr>
    </w:p>
    <w:p>
      <w:pPr>
        <w:pStyle w:val="8"/>
        <w:rPr>
          <w:rFonts w:ascii="宋体" w:hAnsi="宋体" w:eastAsia="宋体" w:cs="宋体"/>
          <w:color w:val="auto"/>
          <w:highlight w:val="none"/>
        </w:rPr>
      </w:pPr>
    </w:p>
    <w:p>
      <w:pPr>
        <w:pStyle w:val="8"/>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wordWrap w:val="0"/>
        <w:rPr>
          <w:b/>
          <w:color w:val="auto"/>
          <w:sz w:val="32"/>
          <w:szCs w:val="32"/>
          <w:highlight w:val="none"/>
        </w:rPr>
      </w:pPr>
      <w:r>
        <w:rPr>
          <w:rFonts w:hint="eastAsia"/>
          <w:b/>
          <w:color w:val="auto"/>
          <w:sz w:val="32"/>
          <w:szCs w:val="32"/>
          <w:highlight w:val="none"/>
        </w:rPr>
        <w:t>二、资格证明文件格式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1.资格证明文件封面格式：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wordWrap w:val="0"/>
        <w:spacing w:before="120" w:beforeLines="50" w:after="50"/>
        <w:ind w:firstLine="640" w:firstLineChars="200"/>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p>
    <w:p>
      <w:pPr>
        <w:pStyle w:val="8"/>
        <w:wordWrap w:val="0"/>
        <w:spacing w:before="50" w:after="50"/>
        <w:ind w:firstLine="720" w:firstLineChars="225"/>
        <w:rPr>
          <w:rFonts w:ascii="宋体" w:hAnsi="宋体" w:cs="仿宋_GB2312"/>
          <w:bCs/>
          <w:color w:val="auto"/>
          <w:sz w:val="32"/>
          <w:szCs w:val="32"/>
          <w:highlight w:val="none"/>
        </w:rPr>
      </w:pPr>
    </w:p>
    <w:p>
      <w:pPr>
        <w:pStyle w:val="8"/>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hd w:val="clear" w:color="auto" w:fill="FFFFFF"/>
        <w:spacing w:line="440" w:lineRule="exact"/>
        <w:jc w:val="center"/>
        <w:rPr>
          <w:rFonts w:ascii="宋体" w:hAnsi="宋体" w:eastAsia="宋体" w:cs="宋体"/>
          <w:b/>
          <w:bCs/>
          <w:color w:val="auto"/>
          <w:sz w:val="24"/>
          <w:highlight w:val="none"/>
        </w:rPr>
      </w:pPr>
      <w:r>
        <w:rPr>
          <w:rFonts w:ascii="宋体" w:hAnsi="宋体"/>
          <w:color w:val="auto"/>
          <w:sz w:val="24"/>
          <w:highlight w:val="none"/>
        </w:rPr>
        <w:br w:type="page"/>
      </w:r>
    </w:p>
    <w:p>
      <w:pPr>
        <w:shd w:val="clear" w:color="auto" w:fill="FFFFFF"/>
        <w:spacing w:line="440" w:lineRule="exact"/>
        <w:jc w:val="center"/>
        <w:rPr>
          <w:rFonts w:ascii="宋体" w:hAnsi="宋体" w:eastAsia="宋体" w:cs="宋体"/>
          <w:b/>
          <w:bCs/>
          <w:color w:val="auto"/>
          <w:sz w:val="24"/>
          <w:highlight w:val="none"/>
        </w:rPr>
      </w:pP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both"/>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技术规格响应表</w:t>
      </w:r>
      <w:r>
        <w:rPr>
          <w:rFonts w:hint="eastAsia" w:ascii="宋体" w:hAnsi="宋体" w:eastAsia="宋体" w:cs="宋体"/>
          <w:b/>
          <w:color w:val="auto"/>
          <w:sz w:val="24"/>
          <w:highlight w:val="none"/>
        </w:rPr>
        <w:t>（格式）</w:t>
      </w:r>
    </w:p>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请逐条对应采购文件的第三章“货物需求一览表”中要求的技术要求，认真填写该表。</w:t>
      </w:r>
    </w:p>
    <w:tbl>
      <w:tblPr>
        <w:tblStyle w:val="20"/>
        <w:tblW w:w="9324" w:type="dxa"/>
        <w:tblInd w:w="402" w:type="dxa"/>
        <w:tblLayout w:type="fixed"/>
        <w:tblCellMar>
          <w:top w:w="0" w:type="dxa"/>
          <w:left w:w="0" w:type="dxa"/>
          <w:bottom w:w="0" w:type="dxa"/>
          <w:right w:w="0" w:type="dxa"/>
        </w:tblCellMar>
      </w:tblPr>
      <w:tblGrid>
        <w:gridCol w:w="1135"/>
        <w:gridCol w:w="1372"/>
        <w:gridCol w:w="2997"/>
        <w:gridCol w:w="2560"/>
        <w:gridCol w:w="1260"/>
      </w:tblGrid>
      <w:tr>
        <w:tblPrEx>
          <w:tblCellMar>
            <w:top w:w="0" w:type="dxa"/>
            <w:left w:w="0" w:type="dxa"/>
            <w:bottom w:w="0" w:type="dxa"/>
            <w:right w:w="0" w:type="dxa"/>
          </w:tblCellMar>
        </w:tblPrEx>
        <w:trPr>
          <w:trHeight w:val="555"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采购技术要求</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竞标技术规格</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CellMar>
            <w:top w:w="0" w:type="dxa"/>
            <w:left w:w="0" w:type="dxa"/>
            <w:bottom w:w="0" w:type="dxa"/>
            <w:right w:w="0" w:type="dxa"/>
          </w:tblCellMar>
        </w:tblPrEx>
        <w:trPr>
          <w:trHeight w:val="4593"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r>
    </w:tbl>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1、竞标技术规格由供应商按照响应文件货物需求一览表对应的技术参数及性能进行填写。</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2、此表竞标技术规格与竞标报价表和产品检验报告证书的技术指标不符的，以产品检验报告证书的技术指标为准。</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3、竞标技术规格与采购技术要求相同的为无偏离，竞标技术规格高于采购技术要求的为正偏离，低于采购技术要求的为负偏离。</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供应商（公章）：</w:t>
      </w:r>
      <w:r>
        <w:rPr>
          <w:rFonts w:hint="eastAsia" w:ascii="宋体" w:hAnsi="宋体" w:eastAsia="宋体" w:cs="宋体"/>
          <w:color w:val="auto"/>
          <w:szCs w:val="21"/>
          <w:highlight w:val="none"/>
          <w:u w:val="single"/>
        </w:rPr>
        <w:t>               </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法定代表人或委托代理人签字：</w:t>
      </w:r>
      <w:r>
        <w:rPr>
          <w:rFonts w:hint="eastAsia" w:ascii="宋体" w:hAnsi="宋体" w:eastAsia="宋体" w:cs="宋体"/>
          <w:color w:val="auto"/>
          <w:szCs w:val="21"/>
          <w:highlight w:val="none"/>
          <w:u w:val="single"/>
        </w:rPr>
        <w:t>    </w:t>
      </w:r>
    </w:p>
    <w:p>
      <w:pPr>
        <w:shd w:val="clear" w:color="auto" w:fill="FFFFFF"/>
        <w:spacing w:line="440" w:lineRule="exact"/>
        <w:ind w:firstLine="5040"/>
        <w:rPr>
          <w:rFonts w:ascii="宋体" w:hAnsi="宋体" w:eastAsia="宋体" w:cs="宋体"/>
          <w:color w:val="auto"/>
          <w:szCs w:val="21"/>
          <w:highlight w:val="none"/>
        </w:rPr>
      </w:pPr>
      <w:r>
        <w:rPr>
          <w:rFonts w:hint="eastAsia" w:ascii="宋体" w:hAnsi="宋体" w:eastAsia="宋体" w:cs="宋体"/>
          <w:color w:val="auto"/>
          <w:szCs w:val="21"/>
          <w:highlight w:val="none"/>
        </w:rPr>
        <w:t> 日期：</w:t>
      </w:r>
      <w:r>
        <w:rPr>
          <w:rFonts w:hint="eastAsia" w:ascii="宋体" w:hAnsi="宋体" w:eastAsia="宋体" w:cs="宋体"/>
          <w:color w:val="auto"/>
          <w:szCs w:val="21"/>
          <w:highlight w:val="none"/>
          <w:u w:val="single"/>
        </w:rPr>
        <w:t>              </w:t>
      </w:r>
    </w:p>
    <w:p>
      <w:pPr>
        <w:spacing w:after="0" w:line="500" w:lineRule="exact"/>
        <w:jc w:val="both"/>
        <w:rPr>
          <w:rFonts w:ascii="宋体" w:hAnsi="宋体" w:eastAsia="宋体" w:cs="宋体"/>
          <w:b/>
          <w:bCs/>
          <w:color w:val="auto"/>
          <w:sz w:val="28"/>
          <w:szCs w:val="28"/>
          <w:highlight w:val="none"/>
        </w:rPr>
      </w:pPr>
    </w:p>
    <w:p>
      <w:pPr>
        <w:pStyle w:val="5"/>
        <w:rPr>
          <w:rFonts w:ascii="宋体" w:hAnsi="宋体" w:eastAsia="宋体" w:cs="宋体"/>
          <w:color w:val="auto"/>
          <w:highlight w:val="none"/>
        </w:rPr>
      </w:pPr>
    </w:p>
    <w:p>
      <w:pPr>
        <w:spacing w:after="0" w:line="500" w:lineRule="exact"/>
        <w:ind w:left="420"/>
        <w:jc w:val="center"/>
        <w:rPr>
          <w:rFonts w:ascii="宋体" w:hAnsi="宋体" w:eastAsia="宋体" w:cs="宋体"/>
          <w:b/>
          <w:bCs/>
          <w:color w:val="auto"/>
          <w:sz w:val="28"/>
          <w:szCs w:val="28"/>
          <w:highlight w:val="none"/>
        </w:rPr>
      </w:pPr>
    </w:p>
    <w:p>
      <w:pPr>
        <w:rPr>
          <w:rFonts w:ascii="宋体" w:hAnsi="宋体" w:eastAsia="宋体" w:cs="宋体"/>
          <w:color w:val="auto"/>
          <w:sz w:val="24"/>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法定代表人（负责人）身份证明</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4"/>
          <w:highlight w:val="none"/>
        </w:rPr>
      </w:pP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年     月     日</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身份证复印件。</w:t>
      </w:r>
    </w:p>
    <w:p>
      <w:pPr>
        <w:spacing w:line="5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授权委托书</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8"/>
          <w:highlight w:val="none"/>
        </w:rPr>
      </w:pP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响应文件、签订合同和处理有关事宜，其法律后果由我方承担。</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pPr>
        <w:spacing w:line="500" w:lineRule="exact"/>
        <w:ind w:firstLine="4560" w:firstLineChars="19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firstLineChars="1900"/>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before="50" w:after="120" w:afterLines="50" w:line="360" w:lineRule="auto"/>
        <w:jc w:val="center"/>
        <w:rPr>
          <w:rFonts w:ascii="宋体" w:hAnsi="宋体" w:eastAsia="宋体" w:cs="宋体"/>
          <w:color w:val="auto"/>
          <w:sz w:val="24"/>
          <w:highlight w:val="none"/>
          <w:lang w:val="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投标人直接控股股东信息表（格式）</w:t>
      </w:r>
    </w:p>
    <w:tbl>
      <w:tblPr>
        <w:tblStyle w:val="2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87"/>
        <w:gridCol w:w="1253"/>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3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身份证号码或者统一社会信用代码</w:t>
            </w:r>
          </w:p>
        </w:tc>
        <w:tc>
          <w:tcPr>
            <w:tcW w:w="12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lang w:val="zh-CN"/>
        </w:rPr>
      </w:pP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3.投标人不存在直接控股股东的，则填“无”。</w:t>
      </w:r>
    </w:p>
    <w:p>
      <w:pPr>
        <w:spacing w:line="360" w:lineRule="auto"/>
        <w:ind w:firstLine="576"/>
        <w:jc w:val="center"/>
        <w:rPr>
          <w:rFonts w:ascii="宋体" w:hAnsi="宋体" w:eastAsia="宋体" w:cs="宋体"/>
          <w:color w:val="auto"/>
          <w:sz w:val="21"/>
          <w:szCs w:val="21"/>
          <w:highlight w:val="none"/>
          <w:lang w:val="zh-CN"/>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投标人直接管理关系信息表（格式）</w:t>
      </w:r>
    </w:p>
    <w:tbl>
      <w:tblPr>
        <w:tblStyle w:val="2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3.投标人不存在直接管理关系的，则填“无”。</w:t>
      </w:r>
    </w:p>
    <w:p>
      <w:pPr>
        <w:spacing w:line="360" w:lineRule="auto"/>
        <w:rPr>
          <w:rFonts w:ascii="宋体" w:hAnsi="宋体" w:eastAsia="宋体" w:cs="宋体"/>
          <w:color w:val="auto"/>
          <w:sz w:val="21"/>
          <w:szCs w:val="21"/>
          <w:highlight w:val="none"/>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10"/>
        <w:rPr>
          <w:rFonts w:ascii="宋体" w:hAnsi="宋体" w:cs="宋体"/>
          <w:color w:val="auto"/>
          <w:highlight w:val="none"/>
        </w:rPr>
      </w:pPr>
    </w:p>
    <w:p>
      <w:pPr>
        <w:spacing w:after="156" w:line="400" w:lineRule="exact"/>
        <w:ind w:right="-285"/>
        <w:rPr>
          <w:rFonts w:ascii="宋体" w:hAnsi="宋体" w:eastAsia="宋体" w:cs="宋体"/>
          <w:color w:val="auto"/>
          <w:sz w:val="18"/>
          <w:highlight w:val="none"/>
        </w:rPr>
      </w:pPr>
    </w:p>
    <w:p>
      <w:pPr>
        <w:spacing w:line="360" w:lineRule="auto"/>
        <w:jc w:val="center"/>
        <w:rPr>
          <w:rFonts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44"/>
          <w:szCs w:val="44"/>
          <w:highlight w:val="none"/>
        </w:rPr>
        <w:t>竞标声明（格式）</w:t>
      </w:r>
    </w:p>
    <w:p>
      <w:pPr>
        <w:spacing w:line="320" w:lineRule="exact"/>
        <w:jc w:val="center"/>
        <w:rPr>
          <w:rFonts w:ascii="宋体" w:hAnsi="宋体" w:eastAsia="宋体" w:cs="宋体"/>
          <w:color w:val="auto"/>
          <w:sz w:val="24"/>
          <w:szCs w:val="20"/>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□我方本次响应文件内容中未涉及商业秘密；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□我方本次响应文件涉及商业秘密的内容有：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7.与本谈判有关的一切正式往来信函请寄：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邮政编号：</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注：如为联合体竞标，盖章处须加盖联合体各方公章并由联合体各方法定代表人分别签署，否则响应文件按无效处理。</w:t>
      </w:r>
    </w:p>
    <w:p>
      <w:pPr>
        <w:spacing w:line="360" w:lineRule="auto"/>
        <w:contextualSpacing/>
        <w:rPr>
          <w:rFonts w:ascii="宋体" w:hAnsi="宋体" w:eastAsia="宋体" w:cs="宋体"/>
          <w:color w:val="auto"/>
          <w:szCs w:val="21"/>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无串通竞标行为的承诺函</w:t>
      </w:r>
    </w:p>
    <w:p>
      <w:pPr>
        <w:spacing w:line="400" w:lineRule="exact"/>
        <w:ind w:firstLine="640" w:firstLineChars="200"/>
        <w:rPr>
          <w:rFonts w:ascii="宋体" w:hAnsi="宋体" w:eastAsia="宋体" w:cs="宋体"/>
          <w:color w:val="auto"/>
          <w:sz w:val="32"/>
          <w:szCs w:val="32"/>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eastAsia="宋体" w:cs="宋体"/>
          <w:color w:val="auto"/>
          <w:sz w:val="24"/>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ind w:right="480" w:firstLine="6160" w:firstLineChars="2200"/>
        <w:contextualSpacing/>
        <w:rPr>
          <w:rFonts w:ascii="宋体" w:hAnsi="宋体" w:eastAsia="宋体" w:cs="宋体"/>
          <w:color w:val="auto"/>
          <w:sz w:val="28"/>
          <w:szCs w:val="28"/>
          <w:highlight w:val="none"/>
        </w:rPr>
      </w:pPr>
    </w:p>
    <w:p>
      <w:pPr>
        <w:spacing w:before="120" w:beforeLines="50" w:after="50"/>
        <w:rPr>
          <w:rFonts w:ascii="宋体" w:hAnsi="宋体" w:eastAsia="宋体" w:cs="宋体"/>
          <w:color w:val="auto"/>
          <w:szCs w:val="21"/>
          <w:highlight w:val="none"/>
        </w:rPr>
      </w:pPr>
    </w:p>
    <w:p>
      <w:pPr>
        <w:spacing w:line="220" w:lineRule="atLeast"/>
        <w:rPr>
          <w:rFonts w:ascii="宋体" w:hAnsi="宋体" w:eastAsia="宋体" w:cs="宋体"/>
          <w:color w:val="auto"/>
          <w:highlight w:val="none"/>
        </w:rPr>
      </w:pPr>
    </w:p>
    <w:p>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center"/>
        <w:rPr>
          <w:rFonts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bookmarkStart w:id="47" w:name="_Hlk48036267"/>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采购需求”中的商务要求逐条作出明确响应，并作出偏离说明。</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2.供应商应根据自身的承诺，对照谈判文件要求在“偏离说明”中注明“正偏离”、“负偏离”或者“无偏离”。既不属于“正偏离”也不属于“负偏离”即为“无偏离”。</w:t>
      </w:r>
    </w:p>
    <w:p>
      <w:pPr>
        <w:spacing w:line="360" w:lineRule="auto"/>
        <w:contextualSpacing/>
        <w:rPr>
          <w:rFonts w:ascii="宋体" w:hAnsi="宋体" w:eastAsia="宋体" w:cs="宋体"/>
          <w:color w:val="auto"/>
          <w:sz w:val="24"/>
          <w:highlight w:val="none"/>
          <w:u w:val="single"/>
        </w:rPr>
      </w:pPr>
    </w:p>
    <w:p>
      <w:pPr>
        <w:spacing w:line="360" w:lineRule="auto"/>
        <w:ind w:right="-856" w:rightChars="-389"/>
        <w:contextualSpacing/>
        <w:rPr>
          <w:rFonts w:ascii="宋体" w:hAnsi="宋体" w:eastAsia="宋体" w:cs="宋体"/>
          <w:color w:val="auto"/>
          <w:sz w:val="24"/>
          <w:highlight w:val="none"/>
        </w:rPr>
      </w:pPr>
    </w:p>
    <w:bookmarkEnd w:id="47"/>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pStyle w:val="14"/>
        <w:rPr>
          <w:rFonts w:ascii="宋体" w:hAnsi="宋体" w:eastAsia="宋体" w:cs="宋体"/>
          <w:bCs/>
          <w:color w:val="auto"/>
          <w:sz w:val="44"/>
          <w:szCs w:val="44"/>
          <w:highlight w:val="none"/>
        </w:rPr>
      </w:pPr>
    </w:p>
    <w:p>
      <w:pPr>
        <w:spacing w:line="520" w:lineRule="exact"/>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pPr>
        <w:spacing w:line="300" w:lineRule="auto"/>
        <w:rPr>
          <w:rFonts w:ascii="宋体" w:hAnsi="宋体" w:eastAsia="宋体" w:cs="宋体"/>
          <w:color w:val="auto"/>
          <w:szCs w:val="21"/>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spacing w:line="360" w:lineRule="auto"/>
        <w:contextualSpacing/>
        <w:rPr>
          <w:rFonts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货物名称、数量及单位、品牌必须与“竞标报价表”一致，</w:t>
      </w:r>
      <w:r>
        <w:rPr>
          <w:rFonts w:hint="eastAsia" w:ascii="宋体" w:hAnsi="宋体" w:eastAsia="宋体" w:cs="宋体"/>
          <w:bCs/>
          <w:color w:val="auto"/>
          <w:sz w:val="24"/>
          <w:highlight w:val="none"/>
        </w:rPr>
        <w:t>否则响应文件按无效处理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rPr>
          <w:rFonts w:ascii="宋体" w:hAnsi="宋体" w:eastAsia="宋体" w:cs="宋体"/>
          <w:bCs/>
          <w:color w:val="auto"/>
          <w:sz w:val="44"/>
          <w:szCs w:val="44"/>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spacing w:line="30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pPr>
        <w:spacing w:line="360" w:lineRule="auto"/>
        <w:contextualSpacing/>
        <w:rPr>
          <w:rFonts w:ascii="宋体" w:hAnsi="宋体" w:eastAsia="宋体" w:cs="宋体"/>
          <w:color w:val="auto"/>
          <w:sz w:val="32"/>
          <w:szCs w:val="32"/>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881"/>
        <w:gridCol w:w="2927"/>
        <w:gridCol w:w="2634"/>
        <w:gridCol w:w="14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48" w:name="_Toc373333689"/>
            <w:bookmarkStart w:id="49" w:name="_Toc301781611"/>
            <w:bookmarkStart w:id="50" w:name="_Toc173211900"/>
            <w:bookmarkStart w:id="51" w:name="_Toc297193185"/>
            <w:bookmarkStart w:id="52" w:name="_Toc254970588"/>
            <w:bookmarkStart w:id="53" w:name="_Toc295404981"/>
            <w:bookmarkStart w:id="54" w:name="_Toc254970729"/>
            <w:bookmarkStart w:id="55" w:name="_Toc383699906"/>
            <w:bookmarkStart w:id="56" w:name="_Toc173066401"/>
            <w:r>
              <w:rPr>
                <w:rFonts w:hint="eastAsia" w:ascii="宋体" w:hAnsi="宋体" w:eastAsia="宋体" w:cs="宋体"/>
                <w:color w:val="auto"/>
                <w:sz w:val="24"/>
                <w:highlight w:val="none"/>
              </w:rPr>
              <w:t>序号</w:t>
            </w:r>
            <w:bookmarkEnd w:id="48"/>
            <w:bookmarkEnd w:id="49"/>
            <w:bookmarkEnd w:id="50"/>
            <w:bookmarkEnd w:id="51"/>
            <w:bookmarkEnd w:id="52"/>
            <w:bookmarkEnd w:id="53"/>
            <w:bookmarkEnd w:id="54"/>
            <w:bookmarkEnd w:id="55"/>
            <w:bookmarkEnd w:id="56"/>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bookmarkStart w:id="57" w:name="_Toc254970589"/>
            <w:bookmarkStart w:id="58" w:name="_Toc297193186"/>
            <w:bookmarkStart w:id="59" w:name="_Toc173211901"/>
            <w:bookmarkStart w:id="60" w:name="_Toc383699907"/>
            <w:bookmarkStart w:id="61" w:name="_Toc173066402"/>
            <w:bookmarkStart w:id="62" w:name="_Toc295404982"/>
            <w:bookmarkStart w:id="63" w:name="_Toc254970730"/>
            <w:bookmarkStart w:id="64" w:name="_Toc301781612"/>
            <w:bookmarkStart w:id="65" w:name="_Toc373333690"/>
            <w:r>
              <w:rPr>
                <w:rFonts w:hint="eastAsia" w:ascii="宋体" w:hAnsi="宋体" w:eastAsia="宋体" w:cs="宋体"/>
                <w:color w:val="auto"/>
                <w:sz w:val="24"/>
                <w:highlight w:val="none"/>
              </w:rPr>
              <w:t>谈判文件要求</w:t>
            </w:r>
            <w:bookmarkEnd w:id="57"/>
            <w:bookmarkEnd w:id="58"/>
            <w:bookmarkEnd w:id="59"/>
            <w:bookmarkEnd w:id="60"/>
            <w:bookmarkEnd w:id="61"/>
            <w:bookmarkEnd w:id="62"/>
            <w:bookmarkEnd w:id="63"/>
            <w:bookmarkEnd w:id="64"/>
            <w:bookmarkEnd w:id="65"/>
          </w:p>
        </w:tc>
        <w:tc>
          <w:tcPr>
            <w:tcW w:w="2634" w:type="dxa"/>
            <w:vAlign w:val="center"/>
          </w:tcPr>
          <w:p>
            <w:pPr>
              <w:spacing w:line="360" w:lineRule="auto"/>
              <w:contextualSpacing/>
              <w:jc w:val="center"/>
              <w:rPr>
                <w:rFonts w:ascii="宋体" w:hAnsi="宋体" w:eastAsia="宋体" w:cs="宋体"/>
                <w:color w:val="auto"/>
                <w:sz w:val="24"/>
                <w:highlight w:val="none"/>
              </w:rPr>
            </w:pPr>
            <w:bookmarkStart w:id="66" w:name="_Toc295404983"/>
            <w:bookmarkStart w:id="67" w:name="_Toc254970590"/>
            <w:bookmarkStart w:id="68" w:name="_Toc301781613"/>
            <w:bookmarkStart w:id="69" w:name="_Toc297193187"/>
            <w:bookmarkStart w:id="70" w:name="_Toc173211902"/>
            <w:bookmarkStart w:id="71" w:name="_Toc254970731"/>
            <w:bookmarkStart w:id="72" w:name="_Toc383699908"/>
            <w:bookmarkStart w:id="73" w:name="_Toc373333691"/>
            <w:bookmarkStart w:id="74" w:name="_Toc173066403"/>
            <w:r>
              <w:rPr>
                <w:rFonts w:hint="eastAsia" w:ascii="宋体" w:hAnsi="宋体" w:eastAsia="宋体" w:cs="宋体"/>
                <w:color w:val="auto"/>
                <w:sz w:val="24"/>
                <w:highlight w:val="none"/>
              </w:rPr>
              <w:t>竞标响应</w:t>
            </w:r>
            <w:bookmarkEnd w:id="66"/>
            <w:bookmarkEnd w:id="67"/>
            <w:bookmarkEnd w:id="68"/>
            <w:bookmarkEnd w:id="69"/>
            <w:bookmarkEnd w:id="70"/>
            <w:bookmarkEnd w:id="71"/>
            <w:bookmarkEnd w:id="72"/>
            <w:bookmarkEnd w:id="73"/>
            <w:bookmarkEnd w:id="74"/>
          </w:p>
        </w:tc>
        <w:tc>
          <w:tcPr>
            <w:tcW w:w="1437" w:type="dxa"/>
            <w:vAlign w:val="center"/>
          </w:tcPr>
          <w:p>
            <w:pPr>
              <w:spacing w:line="360" w:lineRule="auto"/>
              <w:contextualSpacing/>
              <w:jc w:val="center"/>
              <w:rPr>
                <w:rFonts w:ascii="宋体" w:hAnsi="宋体" w:eastAsia="宋体" w:cs="宋体"/>
                <w:color w:val="auto"/>
                <w:sz w:val="24"/>
                <w:highlight w:val="none"/>
              </w:rPr>
            </w:pPr>
            <w:bookmarkStart w:id="75" w:name="_Toc173066404"/>
            <w:bookmarkStart w:id="76" w:name="_Toc254970591"/>
            <w:bookmarkStart w:id="77" w:name="_Toc254970732"/>
            <w:bookmarkStart w:id="78" w:name="_Toc297193188"/>
            <w:bookmarkStart w:id="79" w:name="_Toc301781614"/>
            <w:bookmarkStart w:id="80" w:name="_Toc295404984"/>
            <w:bookmarkStart w:id="81" w:name="_Toc373333692"/>
            <w:bookmarkStart w:id="82" w:name="_Toc173211903"/>
            <w:bookmarkStart w:id="83" w:name="_Toc383699909"/>
            <w:r>
              <w:rPr>
                <w:rFonts w:hint="eastAsia" w:ascii="宋体" w:hAnsi="宋体" w:eastAsia="宋体" w:cs="宋体"/>
                <w:color w:val="auto"/>
                <w:sz w:val="24"/>
                <w:highlight w:val="none"/>
              </w:rPr>
              <w:t>偏离</w:t>
            </w:r>
            <w:bookmarkEnd w:id="75"/>
            <w:bookmarkEnd w:id="76"/>
            <w:bookmarkEnd w:id="77"/>
            <w:bookmarkEnd w:id="78"/>
            <w:bookmarkEnd w:id="79"/>
            <w:bookmarkEnd w:id="80"/>
            <w:bookmarkEnd w:id="81"/>
            <w:bookmarkEnd w:id="82"/>
            <w:bookmarkEnd w:id="83"/>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84" w:name="_Toc295404986"/>
            <w:bookmarkStart w:id="85" w:name="_Toc301781616"/>
            <w:bookmarkStart w:id="86" w:name="_Toc173211905"/>
            <w:bookmarkStart w:id="87" w:name="_Toc383699911"/>
            <w:bookmarkStart w:id="88" w:name="_Toc173066406"/>
            <w:bookmarkStart w:id="89" w:name="_Toc254970593"/>
            <w:bookmarkStart w:id="90" w:name="_Toc373333694"/>
            <w:bookmarkStart w:id="91" w:name="_Toc297193190"/>
            <w:bookmarkStart w:id="92" w:name="_Toc254970734"/>
            <w:r>
              <w:rPr>
                <w:rFonts w:hint="eastAsia" w:ascii="宋体" w:hAnsi="宋体" w:eastAsia="宋体" w:cs="宋体"/>
                <w:color w:val="auto"/>
                <w:sz w:val="24"/>
                <w:highlight w:val="none"/>
              </w:rPr>
              <w:t>1</w:t>
            </w:r>
            <w:bookmarkEnd w:id="84"/>
            <w:bookmarkEnd w:id="85"/>
            <w:bookmarkEnd w:id="86"/>
            <w:bookmarkEnd w:id="87"/>
            <w:bookmarkEnd w:id="88"/>
            <w:bookmarkEnd w:id="89"/>
            <w:bookmarkEnd w:id="90"/>
            <w:bookmarkEnd w:id="91"/>
            <w:bookmarkEnd w:id="92"/>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93" w:name="_Toc173211906"/>
            <w:bookmarkStart w:id="94" w:name="_Toc254970594"/>
            <w:bookmarkStart w:id="95" w:name="_Toc173066407"/>
            <w:bookmarkStart w:id="96" w:name="_Toc373333695"/>
            <w:bookmarkStart w:id="97" w:name="_Toc254970735"/>
            <w:bookmarkStart w:id="98" w:name="_Toc301781617"/>
            <w:bookmarkStart w:id="99" w:name="_Toc297193191"/>
            <w:bookmarkStart w:id="100" w:name="_Toc295404987"/>
            <w:bookmarkStart w:id="101" w:name="_Toc383699912"/>
            <w:r>
              <w:rPr>
                <w:rFonts w:hint="eastAsia" w:ascii="宋体" w:hAnsi="宋体" w:eastAsia="宋体" w:cs="宋体"/>
                <w:color w:val="auto"/>
                <w:sz w:val="24"/>
                <w:highlight w:val="none"/>
              </w:rPr>
              <w:t>2</w:t>
            </w:r>
            <w:bookmarkEnd w:id="93"/>
            <w:bookmarkEnd w:id="94"/>
            <w:bookmarkEnd w:id="95"/>
            <w:bookmarkEnd w:id="96"/>
            <w:bookmarkEnd w:id="97"/>
            <w:bookmarkEnd w:id="98"/>
            <w:bookmarkEnd w:id="99"/>
            <w:bookmarkEnd w:id="100"/>
            <w:bookmarkEnd w:id="101"/>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02" w:name="_Toc383699913"/>
            <w:bookmarkStart w:id="103" w:name="_Toc254970595"/>
            <w:bookmarkStart w:id="104" w:name="_Toc254970736"/>
            <w:bookmarkStart w:id="105" w:name="_Toc301781618"/>
            <w:bookmarkStart w:id="106" w:name="_Toc373333696"/>
            <w:bookmarkStart w:id="107" w:name="_Toc297193192"/>
            <w:bookmarkStart w:id="108" w:name="_Toc173066408"/>
            <w:bookmarkStart w:id="109" w:name="_Toc173211907"/>
            <w:bookmarkStart w:id="110" w:name="_Toc295404988"/>
            <w:r>
              <w:rPr>
                <w:rFonts w:hint="eastAsia" w:ascii="宋体" w:hAnsi="宋体" w:eastAsia="宋体" w:cs="宋体"/>
                <w:color w:val="auto"/>
                <w:sz w:val="24"/>
                <w:highlight w:val="none"/>
              </w:rPr>
              <w:t>3</w:t>
            </w:r>
            <w:bookmarkEnd w:id="102"/>
            <w:bookmarkEnd w:id="103"/>
            <w:bookmarkEnd w:id="104"/>
            <w:bookmarkEnd w:id="105"/>
            <w:bookmarkEnd w:id="106"/>
            <w:bookmarkEnd w:id="107"/>
            <w:bookmarkEnd w:id="108"/>
            <w:bookmarkEnd w:id="109"/>
            <w:bookmarkEnd w:id="110"/>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11" w:name="_Toc383699914"/>
            <w:bookmarkStart w:id="112" w:name="_Toc254970737"/>
            <w:bookmarkStart w:id="113" w:name="_Toc301781619"/>
            <w:bookmarkStart w:id="114" w:name="_Toc173066409"/>
            <w:bookmarkStart w:id="115" w:name="_Toc173211908"/>
            <w:bookmarkStart w:id="116" w:name="_Toc373333697"/>
            <w:bookmarkStart w:id="117" w:name="_Toc254970596"/>
            <w:bookmarkStart w:id="118" w:name="_Toc295404989"/>
            <w:bookmarkStart w:id="119" w:name="_Toc297193193"/>
            <w:r>
              <w:rPr>
                <w:rFonts w:hint="eastAsia" w:ascii="宋体" w:hAnsi="宋体" w:eastAsia="宋体" w:cs="宋体"/>
                <w:color w:val="auto"/>
                <w:sz w:val="24"/>
                <w:highlight w:val="none"/>
              </w:rPr>
              <w:t>4</w:t>
            </w:r>
            <w:bookmarkEnd w:id="111"/>
            <w:bookmarkEnd w:id="112"/>
            <w:bookmarkEnd w:id="113"/>
            <w:bookmarkEnd w:id="114"/>
            <w:bookmarkEnd w:id="115"/>
            <w:bookmarkEnd w:id="116"/>
            <w:bookmarkEnd w:id="117"/>
            <w:bookmarkEnd w:id="118"/>
            <w:bookmarkEnd w:id="119"/>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0" w:name="_Toc373333698"/>
            <w:bookmarkStart w:id="121" w:name="_Toc301781620"/>
            <w:bookmarkStart w:id="122" w:name="_Toc295404990"/>
            <w:bookmarkStart w:id="123" w:name="_Toc297193194"/>
            <w:bookmarkStart w:id="124" w:name="_Toc173211909"/>
            <w:bookmarkStart w:id="125" w:name="_Toc383699915"/>
            <w:bookmarkStart w:id="126" w:name="_Toc173066410"/>
            <w:bookmarkStart w:id="127" w:name="_Toc254970738"/>
            <w:bookmarkStart w:id="128" w:name="_Toc254970597"/>
            <w:r>
              <w:rPr>
                <w:rFonts w:hint="eastAsia" w:ascii="宋体" w:hAnsi="宋体" w:eastAsia="宋体" w:cs="宋体"/>
                <w:color w:val="auto"/>
                <w:sz w:val="24"/>
                <w:highlight w:val="none"/>
              </w:rPr>
              <w:t>5</w:t>
            </w:r>
            <w:bookmarkEnd w:id="120"/>
            <w:bookmarkEnd w:id="121"/>
            <w:bookmarkEnd w:id="122"/>
            <w:bookmarkEnd w:id="123"/>
            <w:bookmarkEnd w:id="124"/>
            <w:bookmarkEnd w:id="125"/>
            <w:bookmarkEnd w:id="126"/>
            <w:bookmarkEnd w:id="127"/>
            <w:bookmarkEnd w:id="128"/>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9" w:name="_Toc383699916"/>
            <w:bookmarkStart w:id="130" w:name="_Toc173211914"/>
            <w:bookmarkStart w:id="131" w:name="_Toc254970602"/>
            <w:bookmarkStart w:id="132" w:name="_Toc301781621"/>
            <w:bookmarkStart w:id="133" w:name="_Toc295404991"/>
            <w:bookmarkStart w:id="134" w:name="_Toc297193195"/>
            <w:bookmarkStart w:id="135" w:name="_Toc173066415"/>
            <w:bookmarkStart w:id="136" w:name="_Toc373333699"/>
            <w:bookmarkStart w:id="137" w:name="_Toc254970743"/>
            <w:r>
              <w:rPr>
                <w:rFonts w:hint="eastAsia" w:ascii="宋体" w:hAnsi="宋体" w:eastAsia="宋体" w:cs="宋体"/>
                <w:color w:val="auto"/>
                <w:sz w:val="24"/>
                <w:highlight w:val="none"/>
              </w:rPr>
              <w:t>…</w:t>
            </w:r>
            <w:bookmarkEnd w:id="129"/>
            <w:bookmarkEnd w:id="130"/>
            <w:bookmarkEnd w:id="131"/>
            <w:bookmarkEnd w:id="132"/>
            <w:bookmarkEnd w:id="133"/>
            <w:bookmarkEnd w:id="134"/>
            <w:bookmarkEnd w:id="135"/>
            <w:bookmarkEnd w:id="136"/>
            <w:bookmarkEnd w:id="137"/>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w:t>
      </w:r>
      <w:bookmarkStart w:id="138" w:name="_Hlk65854900"/>
      <w:r>
        <w:rPr>
          <w:rFonts w:hint="eastAsia" w:ascii="宋体" w:hAnsi="宋体" w:eastAsia="宋体" w:cs="宋体"/>
          <w:color w:val="auto"/>
          <w:sz w:val="24"/>
          <w:highlight w:val="none"/>
        </w:rPr>
        <w:t>技术要求逐条作出明确响应</w:t>
      </w:r>
      <w:bookmarkEnd w:id="138"/>
      <w:r>
        <w:rPr>
          <w:rFonts w:hint="eastAsia" w:ascii="宋体" w:hAnsi="宋体" w:eastAsia="宋体" w:cs="宋体"/>
          <w:color w:val="auto"/>
          <w:sz w:val="24"/>
          <w:highlight w:val="none"/>
        </w:rPr>
        <w:t>，并作出偏离说明。</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2. 供应商应根据自身的承诺，对照谈判文件要求，在“偏离说明”中注明“正偏离”、“负偏离”或者“无偏离”。既不属于“正偏离”也不属于“负偏离”即为“无偏离”。</w:t>
      </w:r>
    </w:p>
    <w:p>
      <w:pPr>
        <w:spacing w:line="360" w:lineRule="auto"/>
        <w:ind w:right="-856" w:rightChars="-389"/>
        <w:contextualSpacing/>
        <w:jc w:val="center"/>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contextualSpacing/>
        <w:rPr>
          <w:rFonts w:ascii="宋体" w:hAnsi="宋体" w:eastAsia="宋体" w:cs="宋体"/>
          <w:color w:val="auto"/>
          <w:sz w:val="28"/>
          <w:szCs w:val="28"/>
          <w:highlight w:val="none"/>
        </w:rPr>
      </w:pPr>
    </w:p>
    <w:p>
      <w:pPr>
        <w:spacing w:line="360" w:lineRule="auto"/>
        <w:contextualSpacing/>
        <w:rPr>
          <w:rFonts w:ascii="宋体" w:hAnsi="宋体" w:eastAsia="宋体" w:cs="宋体"/>
          <w:color w:val="auto"/>
          <w:sz w:val="28"/>
          <w:szCs w:val="28"/>
          <w:highlight w:val="none"/>
        </w:rPr>
      </w:pPr>
    </w:p>
    <w:p>
      <w:pPr>
        <w:spacing w:line="360" w:lineRule="auto"/>
        <w:contextualSpacing/>
        <w:rPr>
          <w:rFonts w:ascii="宋体" w:hAnsi="宋体" w:eastAsia="宋体" w:cs="宋体"/>
          <w:color w:val="auto"/>
          <w:sz w:val="28"/>
          <w:szCs w:val="28"/>
          <w:highlight w:val="none"/>
        </w:rPr>
      </w:pPr>
    </w:p>
    <w:p>
      <w:pPr>
        <w:pStyle w:val="7"/>
        <w:tabs>
          <w:tab w:val="left" w:pos="1442"/>
        </w:tabs>
        <w:kinsoku w:val="0"/>
        <w:overflowPunct w:val="0"/>
        <w:spacing w:before="54"/>
        <w:ind w:right="66"/>
        <w:rPr>
          <w:rFonts w:hint="eastAsia" w:ascii="黑体" w:hAnsi="黑体" w:eastAsia="黑体"/>
          <w:color w:val="auto"/>
          <w:sz w:val="32"/>
          <w:szCs w:val="24"/>
          <w:highlight w:val="none"/>
        </w:rPr>
      </w:pPr>
      <w:r>
        <w:rPr>
          <w:rFonts w:hint="eastAsia" w:ascii="黑体" w:hAnsi="黑体" w:eastAsia="黑体"/>
          <w:color w:val="auto"/>
          <w:sz w:val="32"/>
          <w:szCs w:val="24"/>
          <w:highlight w:val="none"/>
        </w:rPr>
        <w:t>第六章</w:t>
      </w:r>
      <w:r>
        <w:rPr>
          <w:rFonts w:hint="eastAsia" w:ascii="黑体" w:hAnsi="黑体" w:eastAsia="黑体"/>
          <w:color w:val="auto"/>
          <w:sz w:val="32"/>
          <w:szCs w:val="24"/>
          <w:highlight w:val="none"/>
        </w:rPr>
        <w:tab/>
      </w:r>
      <w:r>
        <w:rPr>
          <w:rFonts w:hint="eastAsia" w:ascii="黑体" w:hAnsi="黑体" w:eastAsia="黑体"/>
          <w:color w:val="auto"/>
          <w:sz w:val="32"/>
          <w:szCs w:val="24"/>
          <w:highlight w:val="none"/>
        </w:rPr>
        <w:t>评定成交的标准</w:t>
      </w:r>
    </w:p>
    <w:p>
      <w:pPr>
        <w:pStyle w:val="10"/>
        <w:kinsoku w:val="0"/>
        <w:overflowPunct w:val="0"/>
        <w:spacing w:before="8"/>
        <w:rPr>
          <w:rFonts w:hint="eastAsia" w:ascii="黑体" w:hAnsi="黑体" w:eastAsia="黑体"/>
          <w:b/>
          <w:color w:val="auto"/>
          <w:sz w:val="24"/>
          <w:szCs w:val="24"/>
          <w:highlight w:val="none"/>
        </w:rPr>
      </w:pPr>
    </w:p>
    <w:p>
      <w:pPr>
        <w:pStyle w:val="12"/>
        <w:shd w:val="clear" w:color="auto" w:fill="FFFFFF"/>
        <w:spacing w:line="360" w:lineRule="auto"/>
        <w:ind w:firstLine="590" w:firstLineChars="245"/>
        <w:rPr>
          <w:rFonts w:hint="eastAsia" w:hAnsi="宋体" w:cs="宋体"/>
          <w:b/>
          <w:color w:val="auto"/>
          <w:sz w:val="24"/>
          <w:szCs w:val="24"/>
          <w:highlight w:val="none"/>
        </w:rPr>
      </w:pPr>
      <w:r>
        <w:rPr>
          <w:rFonts w:hint="eastAsia" w:hAnsi="宋体" w:cs="宋体"/>
          <w:b/>
          <w:color w:val="auto"/>
          <w:sz w:val="24"/>
          <w:szCs w:val="24"/>
          <w:highlight w:val="none"/>
        </w:rPr>
        <w:t>一、评审原则</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（一）谈判小组成员组成：本竞争性谈判采购项目的谈判小组由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人组成。【采购人代表和评审专家共三人以上的单数组成，（达到公开招标数额标准以上的项目，竞争性谈判小组成员由五人以上单数组成），其中评审专家的人数不得少于谈判小组成员总数的三分之二。】</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（二）评审依据：以竞争性谈判文件和竞争性响应文件为依据。</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二、评审办法</w:t>
      </w:r>
    </w:p>
    <w:p>
      <w:pPr>
        <w:pStyle w:val="12"/>
        <w:keepNext w:val="0"/>
        <w:keepLines w:val="0"/>
        <w:pageBreakBefore w:val="0"/>
        <w:shd w:val="clear" w:color="auto" w:fill="FFFFFF"/>
        <w:wordWrap/>
        <w:topLinePunct w:val="0"/>
        <w:autoSpaceDE/>
        <w:autoSpaceDN/>
        <w:bidi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谈判小组将以竞争性谈判文件为依据，对资格性检查合格的竞争性响应文件进行评审，在质量和服务均能满足竞争性谈判文件实质性响应要求的供应商中，按下列程序确定成交供应商：</w:t>
      </w:r>
    </w:p>
    <w:p>
      <w:pPr>
        <w:keepNext w:val="0"/>
        <w:keepLines w:val="0"/>
        <w:pageBreakBefore w:val="0"/>
        <w:wordWrap/>
        <w:topLinePunct w:val="0"/>
        <w:autoSpaceDE/>
        <w:autoSpaceDN/>
        <w:bidi w:val="0"/>
        <w:spacing w:line="440" w:lineRule="exact"/>
        <w:ind w:firstLine="480" w:firstLineChars="20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本项目属于不专门面向中小企业采购的项目，按照《政府采购促进中小企业发展管理办法》（财库[2020]46号），对小型和微型企业最后报价给予6%的扣除，扣除后的价格为评审报价，即评审报价=最后报价×（1-6%）；大中型企业与小型、微型企业组成联合体竞标，或大中型企业向小微企业分包的，联合体或者大中型企业最后报价给予3%的扣除，扣除后的价格为评审报价，即评审报价=最后报价×（1-3%）；除上述情况外，评审报价=最后报价。</w:t>
      </w:r>
    </w:p>
    <w:p>
      <w:pPr>
        <w:pStyle w:val="12"/>
        <w:keepNext w:val="0"/>
        <w:keepLines w:val="0"/>
        <w:pageBreakBefore w:val="0"/>
        <w:shd w:val="clear" w:color="auto" w:fill="FFFFFF"/>
        <w:wordWrap/>
        <w:topLinePunct w:val="0"/>
        <w:autoSpaceDE/>
        <w:autoSpaceDN/>
        <w:bidi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2.谈判小组将以谈判文件、响应文件为评审依据，在响应文件满足谈判文件全部实质性要求且</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最低的供应商为成交候选人。</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三、成交候选人推荐和确定原则</w:t>
      </w:r>
    </w:p>
    <w:p>
      <w:pPr>
        <w:pStyle w:val="12"/>
        <w:shd w:val="clear" w:color="auto" w:fill="FFFFFF"/>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（一）竞争性响应文件在质量和服务均能满足竞争性谈判文件实质性响应要求时，谈判小组将按</w:t>
      </w:r>
      <w:r>
        <w:rPr>
          <w:rFonts w:hint="eastAsia" w:hAnsi="宋体" w:cs="宋体"/>
          <w:color w:val="auto"/>
          <w:sz w:val="24"/>
          <w:szCs w:val="24"/>
          <w:highlight w:val="none"/>
          <w:lang w:eastAsia="zh-CN"/>
        </w:rPr>
        <w:t>评审</w:t>
      </w:r>
      <w:r>
        <w:rPr>
          <w:rFonts w:hint="eastAsia" w:hAnsi="宋体" w:cs="宋体"/>
          <w:color w:val="auto"/>
          <w:sz w:val="24"/>
          <w:szCs w:val="24"/>
          <w:highlight w:val="none"/>
        </w:rPr>
        <w:t>报价由低到高顺序推荐3名以上成交候选人（</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8"/>
        <w:shd w:val="clear" w:color="auto" w:fill="FFFFFF"/>
        <w:overflowPunct w:val="0"/>
        <w:spacing w:line="360" w:lineRule="auto"/>
        <w:rPr>
          <w:rFonts w:ascii="方正小标宋简体" w:hAnsi="方正小标宋简体" w:eastAsia="方正小标宋简体" w:cs="方正小标宋简体"/>
          <w:bCs/>
          <w:color w:val="auto"/>
          <w:sz w:val="44"/>
          <w:szCs w:val="44"/>
          <w:highlight w:val="none"/>
        </w:rPr>
      </w:pPr>
      <w:r>
        <w:rPr>
          <w:rFonts w:hint="eastAsia" w:cs="宋体"/>
          <w:color w:val="auto"/>
          <w:sz w:val="24"/>
          <w:szCs w:val="24"/>
          <w:highlight w:val="none"/>
        </w:rPr>
        <w:t>（二）</w:t>
      </w:r>
      <w:r>
        <w:rPr>
          <w:rFonts w:hint="eastAsia" w:ascii="宋体" w:hAnsi="宋体" w:eastAsia="宋体" w:cs="宋体"/>
          <w:color w:val="auto"/>
          <w:sz w:val="24"/>
          <w:szCs w:val="24"/>
          <w:highlight w:val="none"/>
          <w:lang w:val="en-US" w:eastAsia="zh-CN" w:bidi="ar-SA"/>
        </w:rPr>
        <w:t>谈判小组认为，某供应商的有效报价或者某些分项报价明显不合理或者低于成本，有可能影响工程质量和不能诚信履约的，应要求其在规定的期限内提供书面文件予以解释说明，并提交相关证明材料，否则，谈判小组可以取消该供应商的成交候选人资格，按顺序由排在后面的成交候选人递补，以此类推。</w:t>
      </w:r>
      <w:bookmarkStart w:id="139" w:name="_Toc71365383"/>
      <w:bookmarkEnd w:id="139"/>
      <w:bookmarkStart w:id="140" w:name="_Toc71366061"/>
      <w:bookmarkEnd w:id="140"/>
    </w:p>
    <w:p>
      <w:pPr>
        <w:pStyle w:val="54"/>
        <w:tabs>
          <w:tab w:val="left" w:pos="1251"/>
        </w:tabs>
        <w:spacing w:line="540" w:lineRule="exact"/>
        <w:ind w:left="0" w:leftChars="0" w:firstLine="0" w:firstLineChars="0"/>
        <w:jc w:val="center"/>
        <w:rPr>
          <w:rFonts w:hint="eastAsia" w:ascii="黑体" w:hAnsi="黑体" w:eastAsia="黑体" w:cs="黑体"/>
          <w:color w:val="auto"/>
          <w:sz w:val="32"/>
          <w:szCs w:val="32"/>
          <w:lang w:val="en-US" w:eastAsia="zh-CN"/>
        </w:rPr>
      </w:pPr>
      <w:bookmarkStart w:id="141" w:name="bookmark11"/>
      <w:r>
        <w:rPr>
          <w:rFonts w:hint="eastAsia" w:ascii="黑体" w:hAnsi="黑体" w:eastAsia="黑体" w:cs="黑体"/>
          <w:color w:val="auto"/>
          <w:sz w:val="32"/>
          <w:szCs w:val="32"/>
          <w:lang w:val="en-US" w:eastAsia="zh-CN"/>
        </w:rPr>
        <w:t>隆林各族自治县中医医院</w:t>
      </w:r>
    </w:p>
    <w:p>
      <w:pPr>
        <w:pStyle w:val="54"/>
        <w:tabs>
          <w:tab w:val="left" w:pos="1251"/>
        </w:tabs>
        <w:spacing w:line="540" w:lineRule="exact"/>
        <w:ind w:left="0" w:leftChars="0" w:firstLine="0" w:firstLineChars="0"/>
        <w:jc w:val="center"/>
        <w:rPr>
          <w:rFonts w:hint="eastAsia" w:ascii="华文仿宋" w:hAnsi="华文仿宋" w:eastAsia="华文仿宋"/>
          <w:color w:val="auto"/>
          <w:sz w:val="32"/>
          <w:szCs w:val="32"/>
        </w:rPr>
      </w:pPr>
      <w:r>
        <w:rPr>
          <w:rFonts w:hint="eastAsia" w:ascii="黑体" w:hAnsi="黑体" w:eastAsia="黑体" w:cs="黑体"/>
          <w:color w:val="auto"/>
          <w:sz w:val="32"/>
          <w:szCs w:val="32"/>
          <w:lang w:val="en-US" w:eastAsia="zh-CN"/>
        </w:rPr>
        <w:t>供应商廉洁承诺书</w:t>
      </w:r>
      <w:bookmarkEnd w:id="141"/>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根据医院党风廉政以及医药领域腐败问题集中治理的工作的要求，作为参与医院合作供应商，做出如下郑重承诺：</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1.在业务往来中，严格遵守医院廉洁建设的各项制度和规定，并支持医院执行有关规定和制度。</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2.本公司（含工作人员）决不以任何名义向医院工作人员（含配偶、子女、亲属其他共同利益关系人员）赠送礼品（包括但不限于礼金、股份、有价证券和贵重物</w:t>
      </w:r>
      <w:r>
        <w:rPr>
          <w:rFonts w:hint="eastAsia" w:ascii="仿宋_GB2312" w:hAnsi="仿宋_GB2312" w:eastAsia="仿宋_GB2312" w:cs="仿宋_GB2312"/>
          <w:color w:val="auto"/>
          <w:sz w:val="32"/>
          <w:szCs w:val="32"/>
          <w:lang w:val="zh-CN" w:eastAsia="zh-CN"/>
        </w:rPr>
        <w:t>品等</w:t>
      </w:r>
      <w:r>
        <w:rPr>
          <w:rFonts w:hint="eastAsia" w:ascii="仿宋_GB2312" w:hAnsi="仿宋_GB2312" w:eastAsia="仿宋_GB2312" w:cs="仿宋_GB2312"/>
          <w:color w:val="auto"/>
          <w:sz w:val="32"/>
          <w:szCs w:val="32"/>
          <w:lang w:val="en-US" w:eastAsia="zh-CN"/>
        </w:rPr>
        <w:t>)；不得为医院工作人员（含配偶、子女、亲属及其他共同利益关系人员）安排工作，以及支付应由其个人自付的各种费用（包括但不限于住宅装修、食宿、子女出国、食宿等）</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3.本公司（含工作人员）不得为谋取私利擅自与医院工作人员（含配偶、子女、亲属其他共同利益关系人员）进行私下商谈或者达成默契。</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4.本公司（含工作人员）</w:t>
      </w:r>
      <w:r>
        <w:rPr>
          <w:rFonts w:hint="eastAsia" w:ascii="仿宋_GB2312" w:hAnsi="仿宋_GB2312" w:eastAsia="仿宋_GB2312" w:cs="仿宋_GB2312"/>
          <w:color w:val="auto"/>
          <w:sz w:val="32"/>
          <w:szCs w:val="32"/>
        </w:rPr>
        <w:t>不得以洽谈业务、签订合同等为借口，邀请</w:t>
      </w:r>
      <w:r>
        <w:rPr>
          <w:rFonts w:hint="eastAsia" w:ascii="仿宋_GB2312" w:hAnsi="仿宋_GB2312" w:eastAsia="仿宋_GB2312" w:cs="仿宋_GB2312"/>
          <w:color w:val="auto"/>
          <w:sz w:val="32"/>
          <w:szCs w:val="32"/>
          <w:lang w:val="en-US" w:eastAsia="zh-CN"/>
        </w:rPr>
        <w:t>医院工作人员</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配偶、子女、亲属及其他共同利益关系人员）</w:t>
      </w:r>
      <w:r>
        <w:rPr>
          <w:rFonts w:hint="eastAsia" w:ascii="仿宋_GB2312" w:hAnsi="仿宋_GB2312" w:eastAsia="仿宋_GB2312" w:cs="仿宋_GB2312"/>
          <w:color w:val="auto"/>
          <w:sz w:val="32"/>
          <w:szCs w:val="32"/>
        </w:rPr>
        <w:t>外出旅游或进入营业性娱乐场所。</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firstLine="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5.本公司发现医院工作人员</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配偶、子女、亲属及其他共同利益关系人员）有违反本承诺行为倾向的，应及时提醒纠正并向医院纪委（电话：0776-2505111）举报。</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6.经医院监督部门核实认定发现本公司（含工作人员）违反承诺，医院可立即取消与公司的合作，同时医院可保留追究其相应的法律责任。</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firstLine="600"/>
        <w:jc w:val="both"/>
        <w:textAlignment w:val="auto"/>
        <w:rPr>
          <w:rFonts w:hint="eastAsia" w:ascii="仿宋_GB2312" w:hAnsi="仿宋_GB2312" w:eastAsia="仿宋_GB2312" w:cs="仿宋_GB2312"/>
          <w:color w:val="auto"/>
          <w:sz w:val="32"/>
          <w:szCs w:val="32"/>
          <w:lang w:val="en-US" w:eastAsia="zh-CN"/>
        </w:rPr>
      </w:pP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承诺方（盖章）：</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法人代表（或委托人）：                           </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54"/>
        <w:keepNext w:val="0"/>
        <w:keepLines w:val="0"/>
        <w:pageBreakBefore w:val="0"/>
        <w:widowControl w:val="0"/>
        <w:tabs>
          <w:tab w:val="left" w:pos="1251"/>
        </w:tabs>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wordWrap w:val="0"/>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pPr>
        <w:wordWrap w:val="0"/>
        <w:spacing w:line="360" w:lineRule="auto"/>
        <w:jc w:val="center"/>
        <w:rPr>
          <w:rFonts w:ascii="宋体" w:hAnsi="宋体"/>
          <w:b/>
          <w:bCs/>
          <w:color w:val="auto"/>
          <w:sz w:val="32"/>
          <w:szCs w:val="32"/>
          <w:highlight w:val="none"/>
        </w:rPr>
      </w:pP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2"/>
        <w:wordWrap w:val="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pPr>
        <w:pStyle w:val="12"/>
        <w:wordWrap w:val="0"/>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pPr>
        <w:pStyle w:val="12"/>
        <w:wordWrap w:val="0"/>
        <w:spacing w:line="360" w:lineRule="auto"/>
        <w:ind w:left="26"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pPr>
        <w:pStyle w:val="12"/>
        <w:wordWrap w:val="0"/>
        <w:spacing w:line="360" w:lineRule="auto"/>
        <w:ind w:left="26"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12"/>
        <w:wordWrap w:val="0"/>
        <w:spacing w:line="360" w:lineRule="auto"/>
        <w:ind w:left="26"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pPr>
        <w:pStyle w:val="12"/>
        <w:wordWrap w:val="0"/>
        <w:spacing w:line="360" w:lineRule="auto"/>
        <w:contextualSpacing/>
        <w:rPr>
          <w:rFonts w:hAnsi="宋体"/>
          <w:b/>
          <w:color w:val="auto"/>
          <w:sz w:val="24"/>
          <w:szCs w:val="24"/>
          <w:highlight w:val="none"/>
        </w:rPr>
      </w:pPr>
    </w:p>
    <w:p>
      <w:pPr>
        <w:pStyle w:val="12"/>
        <w:wordWrap w:val="0"/>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12"/>
        <w:wordWrap w:val="0"/>
        <w:spacing w:line="360" w:lineRule="auto"/>
        <w:ind w:left="26"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12"/>
        <w:wordWrap w:val="0"/>
        <w:spacing w:line="360" w:lineRule="auto"/>
        <w:ind w:left="26"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spacing w:line="360" w:lineRule="auto"/>
        <w:contextualSpacing/>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2757"/>
        </w:tabs>
        <w:rPr>
          <w:color w:val="auto"/>
          <w:highlight w:val="none"/>
        </w:rPr>
      </w:pPr>
      <w:r>
        <w:rPr>
          <w:rFonts w:hint="eastAsia"/>
          <w:color w:val="auto"/>
          <w:highlight w:val="none"/>
        </w:rPr>
        <w:tab/>
      </w: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widowControl w:val="0"/>
        <w:adjustRightInd/>
        <w:snapToGrid/>
        <w:spacing w:after="0" w:line="360" w:lineRule="auto"/>
        <w:jc w:val="center"/>
        <w:rPr>
          <w:rFonts w:hint="eastAsia" w:ascii="Times New Roman" w:hAnsi="Times New Roman" w:eastAsia="宋体"/>
          <w:b/>
          <w:bCs/>
          <w:color w:val="auto"/>
          <w:kern w:val="2"/>
          <w:sz w:val="24"/>
          <w:szCs w:val="24"/>
          <w:highlight w:val="none"/>
        </w:rPr>
      </w:pPr>
    </w:p>
    <w:p>
      <w:pPr>
        <w:widowControl w:val="0"/>
        <w:adjustRightInd/>
        <w:snapToGrid/>
        <w:spacing w:after="0" w:line="360" w:lineRule="auto"/>
        <w:jc w:val="center"/>
        <w:rPr>
          <w:rFonts w:ascii="Times New Roman" w:hAnsi="Times New Roman" w:eastAsia="宋体"/>
          <w:b/>
          <w:bCs/>
          <w:color w:val="auto"/>
          <w:kern w:val="2"/>
          <w:sz w:val="24"/>
          <w:szCs w:val="24"/>
          <w:highlight w:val="none"/>
        </w:rPr>
      </w:pPr>
      <w:r>
        <w:rPr>
          <w:rFonts w:hint="eastAsia" w:ascii="Times New Roman" w:hAnsi="Times New Roman" w:eastAsia="宋体"/>
          <w:b/>
          <w:bCs/>
          <w:color w:val="auto"/>
          <w:kern w:val="2"/>
          <w:sz w:val="24"/>
          <w:szCs w:val="24"/>
          <w:highlight w:val="none"/>
        </w:rPr>
        <w:t>投诉书（格式）</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一、投诉相关主体基本情况：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法定代表人/主要负责人：</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联系电话</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授权代表：</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地址：</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被投诉人2：</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相关供应商：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二、投诉项目基本情况：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采购项目的编号：</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采购人名称：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代理机构名称：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采购文件公告：是/否公告期限：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采购结果公告：是/否公告期限：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三、质疑基本情况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投诉人于年月日，向提出质疑，质疑事项为：</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采购人/代理机构于年月日，就质疑事项作出了答复/没有在法定期限内作出答复。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四、投诉事项具体内容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投诉事项1：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事实依据：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投诉事项2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五、与投诉事项相关的投诉请求：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签字（签章）：                                       公章：</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日期：</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说明：</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1.投诉人提起投诉时，应当提交投诉书和必要的证明材料，并按照被投诉人和与投诉事项有关的供应商数量提供投诉书副本。</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3.投诉书应简要列明质疑事项，质疑函、质疑答复等作为附件材料提供。</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4.投诉书的投诉事项应具体、明确，并有必要的事实依据和法律依据。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5.投诉书的投诉请求应与投诉事项相关。</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6.投诉人为法人或者其他组织的，投诉书应由法定代表人、主要负责人，或者其授权代表签字或者盖章，并加盖公章。</w:t>
      </w:r>
    </w:p>
    <w:p>
      <w:pPr>
        <w:tabs>
          <w:tab w:val="left" w:pos="2757"/>
        </w:tabs>
        <w:rPr>
          <w:color w:val="auto"/>
          <w:highlight w:val="none"/>
        </w:rPr>
      </w:pPr>
    </w:p>
    <w:sectPr>
      <w:headerReference r:id="rId10" w:type="default"/>
      <w:footerReference r:id="rId11" w:type="default"/>
      <w:pgSz w:w="11906" w:h="16838"/>
      <w:pgMar w:top="1134" w:right="1134" w:bottom="1134" w:left="1134"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Ansi="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9BD23"/>
    <w:multiLevelType w:val="singleLevel"/>
    <w:tmpl w:val="B339BD23"/>
    <w:lvl w:ilvl="0" w:tentative="0">
      <w:start w:val="2"/>
      <w:numFmt w:val="decimal"/>
      <w:suff w:val="nothing"/>
      <w:lvlText w:val="%1、"/>
      <w:lvlJc w:val="left"/>
      <w:pPr>
        <w:ind w:left="480" w:leftChars="0" w:firstLine="0" w:firstLineChars="0"/>
      </w:pPr>
    </w:lvl>
  </w:abstractNum>
  <w:abstractNum w:abstractNumId="1">
    <w:nsid w:val="4CB7FEBB"/>
    <w:multiLevelType w:val="singleLevel"/>
    <w:tmpl w:val="4CB7FEBB"/>
    <w:lvl w:ilvl="0" w:tentative="0">
      <w:start w:val="3"/>
      <w:numFmt w:val="chineseCounting"/>
      <w:suff w:val="space"/>
      <w:lvlText w:val="第%1章"/>
      <w:lvlJc w:val="left"/>
      <w:rPr>
        <w:rFonts w:hint="eastAsia"/>
      </w:rPr>
    </w:lvl>
  </w:abstractNum>
  <w:abstractNum w:abstractNumId="2">
    <w:nsid w:val="56814A4F"/>
    <w:multiLevelType w:val="multilevel"/>
    <w:tmpl w:val="56814A4F"/>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
    <w:nsid w:val="58D09D69"/>
    <w:multiLevelType w:val="singleLevel"/>
    <w:tmpl w:val="58D09D69"/>
    <w:lvl w:ilvl="0" w:tentative="0">
      <w:start w:val="1"/>
      <w:numFmt w:val="chineseCounting"/>
      <w:suff w:val="nothing"/>
      <w:lvlText w:val="（%1）"/>
      <w:lvlJc w:val="left"/>
      <w:rPr>
        <w:rFonts w:hint="eastAsia"/>
      </w:rPr>
    </w:lvl>
  </w:abstractNum>
  <w:abstractNum w:abstractNumId="4">
    <w:nsid w:val="77DC1241"/>
    <w:multiLevelType w:val="multilevel"/>
    <w:tmpl w:val="77DC124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NjNhMGE5ZDY3YmMxNWQ5NzRiYzE5MDk0ZjY1NjEifQ=="/>
  </w:docVars>
  <w:rsids>
    <w:rsidRoot w:val="00172A27"/>
    <w:rsid w:val="00001E2C"/>
    <w:rsid w:val="00002700"/>
    <w:rsid w:val="000171AB"/>
    <w:rsid w:val="00027DE5"/>
    <w:rsid w:val="00034E27"/>
    <w:rsid w:val="000350E1"/>
    <w:rsid w:val="00041B20"/>
    <w:rsid w:val="00053A4D"/>
    <w:rsid w:val="00062F0F"/>
    <w:rsid w:val="000822E2"/>
    <w:rsid w:val="00091AB8"/>
    <w:rsid w:val="000A0684"/>
    <w:rsid w:val="000A417F"/>
    <w:rsid w:val="000A4A52"/>
    <w:rsid w:val="000E29A9"/>
    <w:rsid w:val="000E62CE"/>
    <w:rsid w:val="000F6288"/>
    <w:rsid w:val="000F720E"/>
    <w:rsid w:val="0010547B"/>
    <w:rsid w:val="00106227"/>
    <w:rsid w:val="001303F7"/>
    <w:rsid w:val="0013753C"/>
    <w:rsid w:val="00141F1A"/>
    <w:rsid w:val="001505FE"/>
    <w:rsid w:val="00171CAD"/>
    <w:rsid w:val="00172A27"/>
    <w:rsid w:val="0017710C"/>
    <w:rsid w:val="00194D78"/>
    <w:rsid w:val="001B35D3"/>
    <w:rsid w:val="001C1633"/>
    <w:rsid w:val="001C5E0A"/>
    <w:rsid w:val="001D27E0"/>
    <w:rsid w:val="001D5766"/>
    <w:rsid w:val="001E1DD2"/>
    <w:rsid w:val="001E6AFC"/>
    <w:rsid w:val="00207533"/>
    <w:rsid w:val="002143EE"/>
    <w:rsid w:val="00220181"/>
    <w:rsid w:val="00224005"/>
    <w:rsid w:val="00231BC4"/>
    <w:rsid w:val="00247593"/>
    <w:rsid w:val="00265956"/>
    <w:rsid w:val="002851F3"/>
    <w:rsid w:val="002B4548"/>
    <w:rsid w:val="002D1AD9"/>
    <w:rsid w:val="002D4036"/>
    <w:rsid w:val="002E3F5B"/>
    <w:rsid w:val="002E67F7"/>
    <w:rsid w:val="002F274A"/>
    <w:rsid w:val="00315E58"/>
    <w:rsid w:val="00316A3C"/>
    <w:rsid w:val="003320B9"/>
    <w:rsid w:val="00332171"/>
    <w:rsid w:val="00344171"/>
    <w:rsid w:val="0034576C"/>
    <w:rsid w:val="00347106"/>
    <w:rsid w:val="00370AD0"/>
    <w:rsid w:val="00380F12"/>
    <w:rsid w:val="00390424"/>
    <w:rsid w:val="003F2EA2"/>
    <w:rsid w:val="003F651E"/>
    <w:rsid w:val="00400198"/>
    <w:rsid w:val="00400921"/>
    <w:rsid w:val="00404673"/>
    <w:rsid w:val="0042576C"/>
    <w:rsid w:val="004263C1"/>
    <w:rsid w:val="00433EFB"/>
    <w:rsid w:val="00443E2F"/>
    <w:rsid w:val="00470187"/>
    <w:rsid w:val="00475290"/>
    <w:rsid w:val="00492410"/>
    <w:rsid w:val="004B5A72"/>
    <w:rsid w:val="004C5719"/>
    <w:rsid w:val="004F07A2"/>
    <w:rsid w:val="004F3A48"/>
    <w:rsid w:val="004F78DE"/>
    <w:rsid w:val="00507725"/>
    <w:rsid w:val="0051447A"/>
    <w:rsid w:val="00531A4A"/>
    <w:rsid w:val="00533210"/>
    <w:rsid w:val="00546B6A"/>
    <w:rsid w:val="00562873"/>
    <w:rsid w:val="00562E23"/>
    <w:rsid w:val="00577729"/>
    <w:rsid w:val="00586970"/>
    <w:rsid w:val="00586A12"/>
    <w:rsid w:val="0059058B"/>
    <w:rsid w:val="005B09CE"/>
    <w:rsid w:val="005D035F"/>
    <w:rsid w:val="005D2438"/>
    <w:rsid w:val="005E3FF3"/>
    <w:rsid w:val="005E521B"/>
    <w:rsid w:val="00603E82"/>
    <w:rsid w:val="006053EE"/>
    <w:rsid w:val="006141AD"/>
    <w:rsid w:val="0062499F"/>
    <w:rsid w:val="0063429A"/>
    <w:rsid w:val="006524FE"/>
    <w:rsid w:val="00652C3D"/>
    <w:rsid w:val="00663890"/>
    <w:rsid w:val="00685907"/>
    <w:rsid w:val="006F0395"/>
    <w:rsid w:val="006F0547"/>
    <w:rsid w:val="006F4243"/>
    <w:rsid w:val="0070202B"/>
    <w:rsid w:val="00707BD9"/>
    <w:rsid w:val="00717295"/>
    <w:rsid w:val="007320AF"/>
    <w:rsid w:val="00744E71"/>
    <w:rsid w:val="0075683D"/>
    <w:rsid w:val="00762346"/>
    <w:rsid w:val="00772167"/>
    <w:rsid w:val="00780A82"/>
    <w:rsid w:val="00784967"/>
    <w:rsid w:val="0079071A"/>
    <w:rsid w:val="00796903"/>
    <w:rsid w:val="007976B2"/>
    <w:rsid w:val="007A7AC4"/>
    <w:rsid w:val="007C45DB"/>
    <w:rsid w:val="007C63CC"/>
    <w:rsid w:val="007D5BE5"/>
    <w:rsid w:val="007E1CC3"/>
    <w:rsid w:val="007E5F0E"/>
    <w:rsid w:val="007E6B3A"/>
    <w:rsid w:val="007F3D11"/>
    <w:rsid w:val="00801303"/>
    <w:rsid w:val="00817640"/>
    <w:rsid w:val="0082740E"/>
    <w:rsid w:val="008369DA"/>
    <w:rsid w:val="00844E10"/>
    <w:rsid w:val="00850BB1"/>
    <w:rsid w:val="0085674C"/>
    <w:rsid w:val="00872FA5"/>
    <w:rsid w:val="008854C6"/>
    <w:rsid w:val="00891C22"/>
    <w:rsid w:val="008B1621"/>
    <w:rsid w:val="008D59E6"/>
    <w:rsid w:val="008F430B"/>
    <w:rsid w:val="00901024"/>
    <w:rsid w:val="00903111"/>
    <w:rsid w:val="0093082F"/>
    <w:rsid w:val="00937F32"/>
    <w:rsid w:val="009666CD"/>
    <w:rsid w:val="009A7B1E"/>
    <w:rsid w:val="009E6009"/>
    <w:rsid w:val="009E6330"/>
    <w:rsid w:val="009F357E"/>
    <w:rsid w:val="009F5FEE"/>
    <w:rsid w:val="00A45F4E"/>
    <w:rsid w:val="00A821B2"/>
    <w:rsid w:val="00AB6D8C"/>
    <w:rsid w:val="00AC22BC"/>
    <w:rsid w:val="00AC5BB7"/>
    <w:rsid w:val="00B35F22"/>
    <w:rsid w:val="00B7604B"/>
    <w:rsid w:val="00B7682B"/>
    <w:rsid w:val="00B864E1"/>
    <w:rsid w:val="00B91F15"/>
    <w:rsid w:val="00B96DF5"/>
    <w:rsid w:val="00BC1057"/>
    <w:rsid w:val="00BC392C"/>
    <w:rsid w:val="00C030FA"/>
    <w:rsid w:val="00C20E21"/>
    <w:rsid w:val="00C2288D"/>
    <w:rsid w:val="00C35BFF"/>
    <w:rsid w:val="00C43050"/>
    <w:rsid w:val="00C519E9"/>
    <w:rsid w:val="00C5253B"/>
    <w:rsid w:val="00C60FB4"/>
    <w:rsid w:val="00C63C26"/>
    <w:rsid w:val="00C6687F"/>
    <w:rsid w:val="00C75749"/>
    <w:rsid w:val="00C86B03"/>
    <w:rsid w:val="00C970C6"/>
    <w:rsid w:val="00CA011C"/>
    <w:rsid w:val="00CB59F4"/>
    <w:rsid w:val="00CD5199"/>
    <w:rsid w:val="00CD57F7"/>
    <w:rsid w:val="00CE3028"/>
    <w:rsid w:val="00CE6CCD"/>
    <w:rsid w:val="00CF0D2C"/>
    <w:rsid w:val="00D045DD"/>
    <w:rsid w:val="00D247A6"/>
    <w:rsid w:val="00D249EA"/>
    <w:rsid w:val="00D673CE"/>
    <w:rsid w:val="00D94C9D"/>
    <w:rsid w:val="00DA4C4C"/>
    <w:rsid w:val="00DF14AF"/>
    <w:rsid w:val="00E221BF"/>
    <w:rsid w:val="00E266C8"/>
    <w:rsid w:val="00E459E3"/>
    <w:rsid w:val="00E52ABC"/>
    <w:rsid w:val="00E60C37"/>
    <w:rsid w:val="00E67A8A"/>
    <w:rsid w:val="00E80333"/>
    <w:rsid w:val="00ED1995"/>
    <w:rsid w:val="00ED3A9B"/>
    <w:rsid w:val="00EE37E5"/>
    <w:rsid w:val="00EE6875"/>
    <w:rsid w:val="00EF6FCF"/>
    <w:rsid w:val="00F12577"/>
    <w:rsid w:val="00F358D8"/>
    <w:rsid w:val="00F52CAA"/>
    <w:rsid w:val="00F66FBE"/>
    <w:rsid w:val="00F701F2"/>
    <w:rsid w:val="00F77F4E"/>
    <w:rsid w:val="00F977F9"/>
    <w:rsid w:val="00FA37CA"/>
    <w:rsid w:val="00FD31E8"/>
    <w:rsid w:val="01D07B9E"/>
    <w:rsid w:val="01DD5D6B"/>
    <w:rsid w:val="01F20634"/>
    <w:rsid w:val="02A86215"/>
    <w:rsid w:val="02D44561"/>
    <w:rsid w:val="02DC1A7B"/>
    <w:rsid w:val="030E5121"/>
    <w:rsid w:val="034A4940"/>
    <w:rsid w:val="036E2937"/>
    <w:rsid w:val="0379703E"/>
    <w:rsid w:val="03811CF2"/>
    <w:rsid w:val="038C11BF"/>
    <w:rsid w:val="03BA41DB"/>
    <w:rsid w:val="04D36E3A"/>
    <w:rsid w:val="05246996"/>
    <w:rsid w:val="05571F97"/>
    <w:rsid w:val="061A3713"/>
    <w:rsid w:val="069842A0"/>
    <w:rsid w:val="06A44F4B"/>
    <w:rsid w:val="071A4CB0"/>
    <w:rsid w:val="072E1CCA"/>
    <w:rsid w:val="07643387"/>
    <w:rsid w:val="08544435"/>
    <w:rsid w:val="0855063A"/>
    <w:rsid w:val="087A414D"/>
    <w:rsid w:val="08E33653"/>
    <w:rsid w:val="0A032E28"/>
    <w:rsid w:val="0A09042E"/>
    <w:rsid w:val="0A5205E6"/>
    <w:rsid w:val="0AE07BC8"/>
    <w:rsid w:val="0AED3D82"/>
    <w:rsid w:val="0B3B0375"/>
    <w:rsid w:val="0B57548D"/>
    <w:rsid w:val="0B614F75"/>
    <w:rsid w:val="0BDA1EE5"/>
    <w:rsid w:val="0C033703"/>
    <w:rsid w:val="0C0A22C0"/>
    <w:rsid w:val="0C410B0C"/>
    <w:rsid w:val="0CF67D0F"/>
    <w:rsid w:val="0D1004D9"/>
    <w:rsid w:val="0D702F15"/>
    <w:rsid w:val="0D9D3B46"/>
    <w:rsid w:val="0DE72ECF"/>
    <w:rsid w:val="0E26212F"/>
    <w:rsid w:val="0E727599"/>
    <w:rsid w:val="0EAB55BC"/>
    <w:rsid w:val="0F17719A"/>
    <w:rsid w:val="0F58392F"/>
    <w:rsid w:val="0FD473DA"/>
    <w:rsid w:val="0FED1C75"/>
    <w:rsid w:val="100B05F1"/>
    <w:rsid w:val="10374F06"/>
    <w:rsid w:val="108260FD"/>
    <w:rsid w:val="10FA1EAC"/>
    <w:rsid w:val="11064EF6"/>
    <w:rsid w:val="11466CD7"/>
    <w:rsid w:val="11495B0F"/>
    <w:rsid w:val="11521CB9"/>
    <w:rsid w:val="117A5FE1"/>
    <w:rsid w:val="117B6038"/>
    <w:rsid w:val="11881E74"/>
    <w:rsid w:val="11A4260F"/>
    <w:rsid w:val="11AB064F"/>
    <w:rsid w:val="11B70AE7"/>
    <w:rsid w:val="11CB1D09"/>
    <w:rsid w:val="122C6E50"/>
    <w:rsid w:val="129A6A1E"/>
    <w:rsid w:val="129C078D"/>
    <w:rsid w:val="12B143EC"/>
    <w:rsid w:val="13531CEB"/>
    <w:rsid w:val="13C94267"/>
    <w:rsid w:val="13CE71AD"/>
    <w:rsid w:val="13FF370A"/>
    <w:rsid w:val="140776A0"/>
    <w:rsid w:val="14437F36"/>
    <w:rsid w:val="149C2AA2"/>
    <w:rsid w:val="14CD2708"/>
    <w:rsid w:val="150945DC"/>
    <w:rsid w:val="15D471CA"/>
    <w:rsid w:val="167E3015"/>
    <w:rsid w:val="172113B1"/>
    <w:rsid w:val="174B0F87"/>
    <w:rsid w:val="177C0146"/>
    <w:rsid w:val="177F058C"/>
    <w:rsid w:val="179C1128"/>
    <w:rsid w:val="17BC7CE2"/>
    <w:rsid w:val="190265D6"/>
    <w:rsid w:val="190343DD"/>
    <w:rsid w:val="191306C3"/>
    <w:rsid w:val="19641CFD"/>
    <w:rsid w:val="198A724D"/>
    <w:rsid w:val="19D92DC8"/>
    <w:rsid w:val="19DB0FBA"/>
    <w:rsid w:val="19F07E66"/>
    <w:rsid w:val="19FB4427"/>
    <w:rsid w:val="1A3C70F5"/>
    <w:rsid w:val="1A513802"/>
    <w:rsid w:val="1A5A43BE"/>
    <w:rsid w:val="1A841186"/>
    <w:rsid w:val="1A8A7701"/>
    <w:rsid w:val="1AAC6533"/>
    <w:rsid w:val="1B3809C7"/>
    <w:rsid w:val="1B5B2087"/>
    <w:rsid w:val="1B755D1F"/>
    <w:rsid w:val="1BA201ED"/>
    <w:rsid w:val="1BD95C97"/>
    <w:rsid w:val="1C027091"/>
    <w:rsid w:val="1C0E6229"/>
    <w:rsid w:val="1C253311"/>
    <w:rsid w:val="1CE67B96"/>
    <w:rsid w:val="1D784A21"/>
    <w:rsid w:val="1D824530"/>
    <w:rsid w:val="1DA0698F"/>
    <w:rsid w:val="1E164DC8"/>
    <w:rsid w:val="1E2A05EB"/>
    <w:rsid w:val="1E656DBF"/>
    <w:rsid w:val="1F126D3F"/>
    <w:rsid w:val="1F213AC8"/>
    <w:rsid w:val="1F2F7661"/>
    <w:rsid w:val="1F69564E"/>
    <w:rsid w:val="1F854242"/>
    <w:rsid w:val="1FC90AE3"/>
    <w:rsid w:val="1FD9050B"/>
    <w:rsid w:val="1FE85C28"/>
    <w:rsid w:val="1FF06356"/>
    <w:rsid w:val="20467A02"/>
    <w:rsid w:val="206930B0"/>
    <w:rsid w:val="208B78C6"/>
    <w:rsid w:val="20A078BA"/>
    <w:rsid w:val="20B4552C"/>
    <w:rsid w:val="20F04656"/>
    <w:rsid w:val="218A6608"/>
    <w:rsid w:val="219C3017"/>
    <w:rsid w:val="21EE30E8"/>
    <w:rsid w:val="222A0BDB"/>
    <w:rsid w:val="22914464"/>
    <w:rsid w:val="22A45076"/>
    <w:rsid w:val="22F664C5"/>
    <w:rsid w:val="23521CBD"/>
    <w:rsid w:val="23CC268A"/>
    <w:rsid w:val="24133D60"/>
    <w:rsid w:val="24163A8F"/>
    <w:rsid w:val="243729FB"/>
    <w:rsid w:val="246C2B13"/>
    <w:rsid w:val="250669AA"/>
    <w:rsid w:val="250953C3"/>
    <w:rsid w:val="25D971B4"/>
    <w:rsid w:val="26105DEF"/>
    <w:rsid w:val="26133841"/>
    <w:rsid w:val="26482304"/>
    <w:rsid w:val="265D64FB"/>
    <w:rsid w:val="26702AF9"/>
    <w:rsid w:val="26814249"/>
    <w:rsid w:val="26971108"/>
    <w:rsid w:val="26A07441"/>
    <w:rsid w:val="26AB5D85"/>
    <w:rsid w:val="26BD03F6"/>
    <w:rsid w:val="26E56F2E"/>
    <w:rsid w:val="272B2516"/>
    <w:rsid w:val="27500E14"/>
    <w:rsid w:val="280074F4"/>
    <w:rsid w:val="2801758C"/>
    <w:rsid w:val="28121EFC"/>
    <w:rsid w:val="28326A82"/>
    <w:rsid w:val="28C10B35"/>
    <w:rsid w:val="28FE1EB4"/>
    <w:rsid w:val="29470B43"/>
    <w:rsid w:val="29551789"/>
    <w:rsid w:val="2A0A2F1C"/>
    <w:rsid w:val="2A1D1446"/>
    <w:rsid w:val="2A40173C"/>
    <w:rsid w:val="2A4813F6"/>
    <w:rsid w:val="2AEA0FEE"/>
    <w:rsid w:val="2B634CCB"/>
    <w:rsid w:val="2BCD0BCE"/>
    <w:rsid w:val="2C132B15"/>
    <w:rsid w:val="2C302494"/>
    <w:rsid w:val="2C5F29F2"/>
    <w:rsid w:val="2C6C224F"/>
    <w:rsid w:val="2CDB4F90"/>
    <w:rsid w:val="2CE36573"/>
    <w:rsid w:val="2D385152"/>
    <w:rsid w:val="2D422BB9"/>
    <w:rsid w:val="2D473EC2"/>
    <w:rsid w:val="2D650748"/>
    <w:rsid w:val="2D7918CE"/>
    <w:rsid w:val="2E0B5B8B"/>
    <w:rsid w:val="2E645B95"/>
    <w:rsid w:val="2EAB5FD7"/>
    <w:rsid w:val="2EBA5744"/>
    <w:rsid w:val="2EC25FBF"/>
    <w:rsid w:val="2EC85381"/>
    <w:rsid w:val="2ED95805"/>
    <w:rsid w:val="2F571D23"/>
    <w:rsid w:val="2F5928D3"/>
    <w:rsid w:val="2F65128E"/>
    <w:rsid w:val="2F6E5A82"/>
    <w:rsid w:val="2F8C0F2F"/>
    <w:rsid w:val="2FA34546"/>
    <w:rsid w:val="300A408E"/>
    <w:rsid w:val="303346AD"/>
    <w:rsid w:val="30664AEB"/>
    <w:rsid w:val="30A139F1"/>
    <w:rsid w:val="30BD2B9F"/>
    <w:rsid w:val="30FA4276"/>
    <w:rsid w:val="31031022"/>
    <w:rsid w:val="31190629"/>
    <w:rsid w:val="31611C23"/>
    <w:rsid w:val="32AC6B6A"/>
    <w:rsid w:val="3322229C"/>
    <w:rsid w:val="333B791A"/>
    <w:rsid w:val="335A2134"/>
    <w:rsid w:val="339030F3"/>
    <w:rsid w:val="33D36529"/>
    <w:rsid w:val="33E85698"/>
    <w:rsid w:val="33E9476B"/>
    <w:rsid w:val="341A0F3A"/>
    <w:rsid w:val="34265AB8"/>
    <w:rsid w:val="345A6FD0"/>
    <w:rsid w:val="349D513D"/>
    <w:rsid w:val="35B8402D"/>
    <w:rsid w:val="35F945D0"/>
    <w:rsid w:val="360D204B"/>
    <w:rsid w:val="36495D10"/>
    <w:rsid w:val="3653733F"/>
    <w:rsid w:val="3661055D"/>
    <w:rsid w:val="36DF0939"/>
    <w:rsid w:val="36E44131"/>
    <w:rsid w:val="36EB7F3F"/>
    <w:rsid w:val="378A0F24"/>
    <w:rsid w:val="37B373D5"/>
    <w:rsid w:val="37C079A5"/>
    <w:rsid w:val="381265D8"/>
    <w:rsid w:val="384416C0"/>
    <w:rsid w:val="386A1849"/>
    <w:rsid w:val="387F039A"/>
    <w:rsid w:val="38863C96"/>
    <w:rsid w:val="391C2A53"/>
    <w:rsid w:val="396A3053"/>
    <w:rsid w:val="396B7FCB"/>
    <w:rsid w:val="396F43AC"/>
    <w:rsid w:val="39830641"/>
    <w:rsid w:val="39A8781A"/>
    <w:rsid w:val="39E24FC0"/>
    <w:rsid w:val="3A107C74"/>
    <w:rsid w:val="3A1F1E3C"/>
    <w:rsid w:val="3A5B234F"/>
    <w:rsid w:val="3AB161F0"/>
    <w:rsid w:val="3B112207"/>
    <w:rsid w:val="3B15391D"/>
    <w:rsid w:val="3B6D154D"/>
    <w:rsid w:val="3BBE2205"/>
    <w:rsid w:val="3BCA3FBF"/>
    <w:rsid w:val="3BD33CF3"/>
    <w:rsid w:val="3BE304F7"/>
    <w:rsid w:val="3C0D1400"/>
    <w:rsid w:val="3C32287B"/>
    <w:rsid w:val="3CBD650E"/>
    <w:rsid w:val="3CF2496A"/>
    <w:rsid w:val="3D071D20"/>
    <w:rsid w:val="3D4044EC"/>
    <w:rsid w:val="3D42552F"/>
    <w:rsid w:val="3D501C4A"/>
    <w:rsid w:val="3D6169AD"/>
    <w:rsid w:val="3E22375E"/>
    <w:rsid w:val="3E3A06F4"/>
    <w:rsid w:val="3E4F69C6"/>
    <w:rsid w:val="3EA769D3"/>
    <w:rsid w:val="3EAF53EB"/>
    <w:rsid w:val="3EBF0EA0"/>
    <w:rsid w:val="3EE06230"/>
    <w:rsid w:val="3F622A54"/>
    <w:rsid w:val="3F6C15F7"/>
    <w:rsid w:val="3F965287"/>
    <w:rsid w:val="3FAA2F1E"/>
    <w:rsid w:val="403B580E"/>
    <w:rsid w:val="409177F8"/>
    <w:rsid w:val="40B80CEB"/>
    <w:rsid w:val="40D07738"/>
    <w:rsid w:val="40DB24E4"/>
    <w:rsid w:val="41127A7D"/>
    <w:rsid w:val="411323D3"/>
    <w:rsid w:val="415F428F"/>
    <w:rsid w:val="416B6487"/>
    <w:rsid w:val="41F16A05"/>
    <w:rsid w:val="4209049B"/>
    <w:rsid w:val="42860BEC"/>
    <w:rsid w:val="429D43C8"/>
    <w:rsid w:val="429F77BE"/>
    <w:rsid w:val="42A64E83"/>
    <w:rsid w:val="430F2676"/>
    <w:rsid w:val="432A241B"/>
    <w:rsid w:val="432D3A8B"/>
    <w:rsid w:val="43A8605F"/>
    <w:rsid w:val="43C03933"/>
    <w:rsid w:val="43C464C2"/>
    <w:rsid w:val="43CE4050"/>
    <w:rsid w:val="43F121F2"/>
    <w:rsid w:val="43FE77D7"/>
    <w:rsid w:val="44046DD7"/>
    <w:rsid w:val="443071E0"/>
    <w:rsid w:val="445D42AD"/>
    <w:rsid w:val="44E34649"/>
    <w:rsid w:val="44E428D9"/>
    <w:rsid w:val="453402A2"/>
    <w:rsid w:val="454B7BA4"/>
    <w:rsid w:val="45593D6B"/>
    <w:rsid w:val="45D066BD"/>
    <w:rsid w:val="460C5AFB"/>
    <w:rsid w:val="460D5887"/>
    <w:rsid w:val="461E35B1"/>
    <w:rsid w:val="462930BB"/>
    <w:rsid w:val="462A0691"/>
    <w:rsid w:val="464C4C3A"/>
    <w:rsid w:val="468C0EA6"/>
    <w:rsid w:val="46A649B7"/>
    <w:rsid w:val="47036B1B"/>
    <w:rsid w:val="471449FA"/>
    <w:rsid w:val="47194487"/>
    <w:rsid w:val="47255E5C"/>
    <w:rsid w:val="474E3B67"/>
    <w:rsid w:val="47945CBB"/>
    <w:rsid w:val="47BD144F"/>
    <w:rsid w:val="489A3F24"/>
    <w:rsid w:val="48A7019D"/>
    <w:rsid w:val="48AD74F4"/>
    <w:rsid w:val="48C44A50"/>
    <w:rsid w:val="49363385"/>
    <w:rsid w:val="49446A92"/>
    <w:rsid w:val="494B14C2"/>
    <w:rsid w:val="49722803"/>
    <w:rsid w:val="4A0A1B5F"/>
    <w:rsid w:val="4A5045E1"/>
    <w:rsid w:val="4A6971D8"/>
    <w:rsid w:val="4A7B1ED5"/>
    <w:rsid w:val="4A971D5E"/>
    <w:rsid w:val="4AB44EEE"/>
    <w:rsid w:val="4B030D86"/>
    <w:rsid w:val="4B085888"/>
    <w:rsid w:val="4B4C5BDA"/>
    <w:rsid w:val="4BE83EAB"/>
    <w:rsid w:val="4C587A51"/>
    <w:rsid w:val="4CA5048A"/>
    <w:rsid w:val="4D8350CD"/>
    <w:rsid w:val="4DB93D25"/>
    <w:rsid w:val="4E895803"/>
    <w:rsid w:val="4E965A7A"/>
    <w:rsid w:val="4E9A7F73"/>
    <w:rsid w:val="4F144212"/>
    <w:rsid w:val="4F1C0477"/>
    <w:rsid w:val="4F211DDD"/>
    <w:rsid w:val="4F307598"/>
    <w:rsid w:val="4FB31B2D"/>
    <w:rsid w:val="4FE43024"/>
    <w:rsid w:val="506866FF"/>
    <w:rsid w:val="507109B9"/>
    <w:rsid w:val="50761B8F"/>
    <w:rsid w:val="50DF1C2A"/>
    <w:rsid w:val="50F404A3"/>
    <w:rsid w:val="51123E24"/>
    <w:rsid w:val="51182AE4"/>
    <w:rsid w:val="515B3FF7"/>
    <w:rsid w:val="51733650"/>
    <w:rsid w:val="51B45A68"/>
    <w:rsid w:val="51D03F6B"/>
    <w:rsid w:val="51EC3F05"/>
    <w:rsid w:val="5225717C"/>
    <w:rsid w:val="526320D9"/>
    <w:rsid w:val="52D2426D"/>
    <w:rsid w:val="53B340BA"/>
    <w:rsid w:val="53C133C5"/>
    <w:rsid w:val="53CE65B1"/>
    <w:rsid w:val="5484561B"/>
    <w:rsid w:val="54CE7277"/>
    <w:rsid w:val="54D47079"/>
    <w:rsid w:val="55596F59"/>
    <w:rsid w:val="556C6F1F"/>
    <w:rsid w:val="55E82DB8"/>
    <w:rsid w:val="56111356"/>
    <w:rsid w:val="567B7553"/>
    <w:rsid w:val="57472724"/>
    <w:rsid w:val="574F356E"/>
    <w:rsid w:val="5784368A"/>
    <w:rsid w:val="57E77304"/>
    <w:rsid w:val="583E20EB"/>
    <w:rsid w:val="58474DB3"/>
    <w:rsid w:val="58836D75"/>
    <w:rsid w:val="588F529F"/>
    <w:rsid w:val="58EE4A7D"/>
    <w:rsid w:val="596C32FE"/>
    <w:rsid w:val="59EC6604"/>
    <w:rsid w:val="5A4D6EE0"/>
    <w:rsid w:val="5A535809"/>
    <w:rsid w:val="5A977557"/>
    <w:rsid w:val="5AD003A3"/>
    <w:rsid w:val="5B3F4C37"/>
    <w:rsid w:val="5B5E7AD1"/>
    <w:rsid w:val="5B780F87"/>
    <w:rsid w:val="5B7C3383"/>
    <w:rsid w:val="5BA47969"/>
    <w:rsid w:val="5BAF4501"/>
    <w:rsid w:val="5C040630"/>
    <w:rsid w:val="5C311F56"/>
    <w:rsid w:val="5C4949A4"/>
    <w:rsid w:val="5C6113A7"/>
    <w:rsid w:val="5C686132"/>
    <w:rsid w:val="5CB151E7"/>
    <w:rsid w:val="5CC9469F"/>
    <w:rsid w:val="5CCE0C07"/>
    <w:rsid w:val="5CE72655"/>
    <w:rsid w:val="5D122CF3"/>
    <w:rsid w:val="5D1A6514"/>
    <w:rsid w:val="5D9B232B"/>
    <w:rsid w:val="5DB54A28"/>
    <w:rsid w:val="5DBB5E61"/>
    <w:rsid w:val="5DFD4EDB"/>
    <w:rsid w:val="5E8D6E3B"/>
    <w:rsid w:val="5EF12758"/>
    <w:rsid w:val="5F00633E"/>
    <w:rsid w:val="5F5B3F02"/>
    <w:rsid w:val="5FAB66B9"/>
    <w:rsid w:val="5FAD797A"/>
    <w:rsid w:val="5FBC3E78"/>
    <w:rsid w:val="5FCA3FEB"/>
    <w:rsid w:val="5FFB3328"/>
    <w:rsid w:val="60B206B6"/>
    <w:rsid w:val="60C43A8E"/>
    <w:rsid w:val="610925C8"/>
    <w:rsid w:val="610D574B"/>
    <w:rsid w:val="61360815"/>
    <w:rsid w:val="614441F4"/>
    <w:rsid w:val="61B966D9"/>
    <w:rsid w:val="61D0560F"/>
    <w:rsid w:val="61F4422B"/>
    <w:rsid w:val="6224555F"/>
    <w:rsid w:val="62612934"/>
    <w:rsid w:val="62814B1C"/>
    <w:rsid w:val="62973596"/>
    <w:rsid w:val="62C46F66"/>
    <w:rsid w:val="63455822"/>
    <w:rsid w:val="63536234"/>
    <w:rsid w:val="636C779B"/>
    <w:rsid w:val="63737458"/>
    <w:rsid w:val="63A624F1"/>
    <w:rsid w:val="63CB3BFC"/>
    <w:rsid w:val="64A10613"/>
    <w:rsid w:val="64E83C1C"/>
    <w:rsid w:val="655D5C3F"/>
    <w:rsid w:val="65753DD7"/>
    <w:rsid w:val="660E1648"/>
    <w:rsid w:val="66234D93"/>
    <w:rsid w:val="663A2C3D"/>
    <w:rsid w:val="669E0853"/>
    <w:rsid w:val="66D9157D"/>
    <w:rsid w:val="66ED1880"/>
    <w:rsid w:val="68913C71"/>
    <w:rsid w:val="6909309B"/>
    <w:rsid w:val="69532BA3"/>
    <w:rsid w:val="696D68E7"/>
    <w:rsid w:val="69760F47"/>
    <w:rsid w:val="699835B8"/>
    <w:rsid w:val="6A0612C5"/>
    <w:rsid w:val="6A541BFB"/>
    <w:rsid w:val="6A924086"/>
    <w:rsid w:val="6AF72A3C"/>
    <w:rsid w:val="6B164A3A"/>
    <w:rsid w:val="6B3C16AA"/>
    <w:rsid w:val="6B494568"/>
    <w:rsid w:val="6B4D5394"/>
    <w:rsid w:val="6BB05D27"/>
    <w:rsid w:val="6BCA171F"/>
    <w:rsid w:val="6BF05E62"/>
    <w:rsid w:val="6C465ADA"/>
    <w:rsid w:val="6C64118D"/>
    <w:rsid w:val="6CBD7275"/>
    <w:rsid w:val="6CC25F03"/>
    <w:rsid w:val="6CE06E06"/>
    <w:rsid w:val="6CEE48B4"/>
    <w:rsid w:val="6D0F1C2A"/>
    <w:rsid w:val="6D495C5A"/>
    <w:rsid w:val="6D782562"/>
    <w:rsid w:val="6DCF6CFE"/>
    <w:rsid w:val="6E1D5D89"/>
    <w:rsid w:val="6E744487"/>
    <w:rsid w:val="6E7A28AA"/>
    <w:rsid w:val="6EA23B48"/>
    <w:rsid w:val="6F795309"/>
    <w:rsid w:val="6F8352D8"/>
    <w:rsid w:val="6FBE477F"/>
    <w:rsid w:val="6FC154E2"/>
    <w:rsid w:val="701E5AF7"/>
    <w:rsid w:val="703D11CA"/>
    <w:rsid w:val="70D9295E"/>
    <w:rsid w:val="7106354D"/>
    <w:rsid w:val="712223FA"/>
    <w:rsid w:val="713251D1"/>
    <w:rsid w:val="71521822"/>
    <w:rsid w:val="718E3770"/>
    <w:rsid w:val="720800C4"/>
    <w:rsid w:val="72A12A1A"/>
    <w:rsid w:val="72EE6247"/>
    <w:rsid w:val="731536B9"/>
    <w:rsid w:val="732E7062"/>
    <w:rsid w:val="735A5289"/>
    <w:rsid w:val="73746CAE"/>
    <w:rsid w:val="73A4483D"/>
    <w:rsid w:val="73CA1B85"/>
    <w:rsid w:val="73F02D35"/>
    <w:rsid w:val="74116AEC"/>
    <w:rsid w:val="74145513"/>
    <w:rsid w:val="74292079"/>
    <w:rsid w:val="746B30C1"/>
    <w:rsid w:val="748157CD"/>
    <w:rsid w:val="7482565E"/>
    <w:rsid w:val="74A97587"/>
    <w:rsid w:val="74B71445"/>
    <w:rsid w:val="7515255F"/>
    <w:rsid w:val="75493695"/>
    <w:rsid w:val="757C79FB"/>
    <w:rsid w:val="75A637D7"/>
    <w:rsid w:val="760578D6"/>
    <w:rsid w:val="76561EB2"/>
    <w:rsid w:val="76A058F9"/>
    <w:rsid w:val="76C06B17"/>
    <w:rsid w:val="76CE3B21"/>
    <w:rsid w:val="76E4761D"/>
    <w:rsid w:val="76F809DE"/>
    <w:rsid w:val="779E1382"/>
    <w:rsid w:val="77F9021A"/>
    <w:rsid w:val="781A6FB5"/>
    <w:rsid w:val="783C37FE"/>
    <w:rsid w:val="788C70A2"/>
    <w:rsid w:val="78906BEE"/>
    <w:rsid w:val="79134885"/>
    <w:rsid w:val="7934545C"/>
    <w:rsid w:val="797029C3"/>
    <w:rsid w:val="79FC5A2F"/>
    <w:rsid w:val="7A072CED"/>
    <w:rsid w:val="7A513E12"/>
    <w:rsid w:val="7A5C7447"/>
    <w:rsid w:val="7AB56222"/>
    <w:rsid w:val="7ADB5996"/>
    <w:rsid w:val="7AF370C1"/>
    <w:rsid w:val="7AF4653C"/>
    <w:rsid w:val="7AFF2BC0"/>
    <w:rsid w:val="7B0E12AB"/>
    <w:rsid w:val="7B3121DA"/>
    <w:rsid w:val="7B9E0AFE"/>
    <w:rsid w:val="7BE672C7"/>
    <w:rsid w:val="7BF03B2B"/>
    <w:rsid w:val="7C335A8C"/>
    <w:rsid w:val="7C506C7F"/>
    <w:rsid w:val="7D056EC5"/>
    <w:rsid w:val="7D106C8C"/>
    <w:rsid w:val="7D3138AA"/>
    <w:rsid w:val="7D8F3F0B"/>
    <w:rsid w:val="7DB14BAF"/>
    <w:rsid w:val="7DBD077C"/>
    <w:rsid w:val="7DC479E7"/>
    <w:rsid w:val="7DE444E8"/>
    <w:rsid w:val="7E1C6174"/>
    <w:rsid w:val="7E322F7A"/>
    <w:rsid w:val="7E49615E"/>
    <w:rsid w:val="7F6B3CB4"/>
    <w:rsid w:val="7F8F5BBD"/>
    <w:rsid w:val="7FEB03A3"/>
    <w:rsid w:val="7FEB7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6" w:semiHidden="0" w:name="heading 4" w:locked="1"/>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6"/>
    <w:pPr>
      <w:keepNext/>
      <w:keepLines/>
      <w:tabs>
        <w:tab w:val="left" w:pos="2880"/>
      </w:tabs>
      <w:spacing w:before="280" w:after="290" w:line="376" w:lineRule="atLeast"/>
      <w:ind w:left="2880" w:hanging="360"/>
      <w:jc w:val="left"/>
      <w:outlineLvl w:val="3"/>
    </w:pPr>
    <w:rPr>
      <w:rFonts w:ascii="Arial" w:hAnsi="Arial" w:eastAsia="黑体" w:cs="Arial"/>
      <w:b/>
      <w:sz w:val="28"/>
      <w:szCs w:val="20"/>
    </w:rPr>
  </w:style>
  <w:style w:type="paragraph" w:styleId="7">
    <w:name w:val="heading 5"/>
    <w:basedOn w:val="1"/>
    <w:next w:val="1"/>
    <w:unhideWhenUsed/>
    <w:qFormat/>
    <w:locked/>
    <w:uiPriority w:val="1"/>
    <w:pPr>
      <w:jc w:val="center"/>
      <w:outlineLvl w:val="4"/>
    </w:pPr>
    <w:rPr>
      <w:rFonts w:hint="eastAsia"/>
      <w:b/>
      <w:sz w:val="32"/>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39"/>
  </w:style>
  <w:style w:type="paragraph" w:styleId="8">
    <w:name w:val="Normal Indent"/>
    <w:basedOn w:val="1"/>
    <w:qFormat/>
    <w:uiPriority w:val="99"/>
    <w:pPr>
      <w:spacing w:line="360" w:lineRule="atLeast"/>
      <w:ind w:firstLine="420"/>
      <w:textAlignment w:val="baseline"/>
    </w:pPr>
    <w:rPr>
      <w:szCs w:val="20"/>
    </w:rPr>
  </w:style>
  <w:style w:type="paragraph" w:styleId="9">
    <w:name w:val="annotation text"/>
    <w:basedOn w:val="1"/>
    <w:link w:val="27"/>
    <w:qFormat/>
    <w:uiPriority w:val="99"/>
  </w:style>
  <w:style w:type="paragraph" w:styleId="10">
    <w:name w:val="Body Text"/>
    <w:basedOn w:val="1"/>
    <w:link w:val="29"/>
    <w:qFormat/>
    <w:uiPriority w:val="99"/>
    <w:pPr>
      <w:widowControl w:val="0"/>
      <w:adjustRightInd/>
      <w:snapToGrid/>
      <w:spacing w:after="0"/>
      <w:jc w:val="center"/>
    </w:pPr>
    <w:rPr>
      <w:rFonts w:ascii="Times New Roman" w:hAnsi="Times New Roman" w:eastAsia="宋体"/>
      <w:sz w:val="52"/>
      <w:szCs w:val="20"/>
    </w:rPr>
  </w:style>
  <w:style w:type="paragraph" w:styleId="11">
    <w:name w:val="Body Text Indent"/>
    <w:basedOn w:val="1"/>
    <w:qFormat/>
    <w:locked/>
    <w:uiPriority w:val="0"/>
    <w:pPr>
      <w:spacing w:line="200" w:lineRule="exact"/>
      <w:ind w:firstLine="301"/>
    </w:pPr>
    <w:rPr>
      <w:rFonts w:ascii="宋体" w:hAnsi="Courier New"/>
      <w:spacing w:val="-4"/>
      <w:sz w:val="18"/>
      <w:szCs w:val="20"/>
    </w:rPr>
  </w:style>
  <w:style w:type="paragraph" w:styleId="12">
    <w:name w:val="Plain Text"/>
    <w:basedOn w:val="1"/>
    <w:link w:val="34"/>
    <w:qFormat/>
    <w:uiPriority w:val="99"/>
    <w:pPr>
      <w:widowControl w:val="0"/>
      <w:adjustRightInd/>
      <w:snapToGrid/>
      <w:spacing w:after="0"/>
      <w:jc w:val="both"/>
    </w:pPr>
    <w:rPr>
      <w:rFonts w:ascii="宋体" w:hAnsi="Times New Roman" w:eastAsia="宋体"/>
      <w:sz w:val="21"/>
      <w:szCs w:val="20"/>
    </w:rPr>
  </w:style>
  <w:style w:type="paragraph" w:styleId="13">
    <w:name w:val="Balloon Text"/>
    <w:basedOn w:val="1"/>
    <w:link w:val="31"/>
    <w:semiHidden/>
    <w:qFormat/>
    <w:uiPriority w:val="99"/>
    <w:rPr>
      <w:sz w:val="18"/>
      <w:szCs w:val="18"/>
    </w:rPr>
  </w:style>
  <w:style w:type="paragraph" w:styleId="14">
    <w:name w:val="footer"/>
    <w:basedOn w:val="1"/>
    <w:link w:val="32"/>
    <w:qFormat/>
    <w:uiPriority w:val="99"/>
    <w:pPr>
      <w:tabs>
        <w:tab w:val="center" w:pos="4153"/>
        <w:tab w:val="right" w:pos="8306"/>
      </w:tabs>
    </w:pPr>
    <w:rPr>
      <w:sz w:val="18"/>
      <w:szCs w:val="18"/>
    </w:rPr>
  </w:style>
  <w:style w:type="paragraph" w:styleId="15">
    <w:name w:val="header"/>
    <w:basedOn w:val="1"/>
    <w:link w:val="33"/>
    <w:qFormat/>
    <w:uiPriority w:val="99"/>
    <w:pPr>
      <w:pBdr>
        <w:bottom w:val="single" w:color="auto" w:sz="6" w:space="1"/>
      </w:pBdr>
      <w:tabs>
        <w:tab w:val="center" w:pos="4153"/>
        <w:tab w:val="right" w:pos="8306"/>
      </w:tabs>
      <w:jc w:val="center"/>
    </w:pPr>
    <w:rPr>
      <w:sz w:val="18"/>
      <w:szCs w:val="18"/>
    </w:rPr>
  </w:style>
  <w:style w:type="paragraph" w:styleId="16">
    <w:name w:val="toc 2"/>
    <w:basedOn w:val="1"/>
    <w:next w:val="1"/>
    <w:unhideWhenUsed/>
    <w:qFormat/>
    <w:locked/>
    <w:uiPriority w:val="39"/>
    <w:pPr>
      <w:tabs>
        <w:tab w:val="right" w:leader="dot" w:pos="8296"/>
      </w:tabs>
      <w:ind w:left="420" w:leftChars="200"/>
    </w:pPr>
  </w:style>
  <w:style w:type="paragraph" w:styleId="17">
    <w:name w:val="Normal (Web)"/>
    <w:basedOn w:val="1"/>
    <w:next w:val="1"/>
    <w:qFormat/>
    <w:uiPriority w:val="99"/>
    <w:pPr>
      <w:adjustRightInd/>
      <w:snapToGrid/>
      <w:spacing w:before="280" w:after="280"/>
      <w:jc w:val="both"/>
    </w:pPr>
    <w:rPr>
      <w:rFonts w:ascii="宋体" w:hAnsi="Times New Roman" w:eastAsia="宋体"/>
      <w:sz w:val="24"/>
      <w:szCs w:val="20"/>
    </w:rPr>
  </w:style>
  <w:style w:type="paragraph" w:styleId="18">
    <w:name w:val="annotation subject"/>
    <w:basedOn w:val="9"/>
    <w:next w:val="9"/>
    <w:link w:val="28"/>
    <w:semiHidden/>
    <w:qFormat/>
    <w:uiPriority w:val="99"/>
    <w:rPr>
      <w:b/>
      <w:bCs/>
    </w:rPr>
  </w:style>
  <w:style w:type="paragraph" w:styleId="19">
    <w:name w:val="Body Text First Indent 2"/>
    <w:basedOn w:val="11"/>
    <w:qFormat/>
    <w:locked/>
    <w:uiPriority w:val="0"/>
    <w:pPr>
      <w:spacing w:before="100" w:beforeAutospacing="1" w:after="120"/>
      <w:ind w:left="420" w:leftChars="200" w:firstLine="420" w:firstLineChars="200"/>
    </w:pPr>
    <w:rPr>
      <w:rFonts w:ascii="Times New Roman" w:hAnsi="Times New Roman"/>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qFormat/>
    <w:uiPriority w:val="99"/>
    <w:rPr>
      <w:rFonts w:ascii="微软雅黑" w:hAnsi="微软雅黑" w:eastAsia="微软雅黑" w:cs="微软雅黑"/>
      <w:color w:val="02396F"/>
      <w:u w:val="single"/>
    </w:rPr>
  </w:style>
  <w:style w:type="character" w:styleId="24">
    <w:name w:val="Hyperlink"/>
    <w:basedOn w:val="22"/>
    <w:semiHidden/>
    <w:qFormat/>
    <w:uiPriority w:val="99"/>
    <w:rPr>
      <w:rFonts w:ascii="微软雅黑" w:hAnsi="微软雅黑" w:eastAsia="微软雅黑" w:cs="微软雅黑"/>
      <w:color w:val="02396F"/>
      <w:u w:val="single"/>
    </w:rPr>
  </w:style>
  <w:style w:type="character" w:styleId="25">
    <w:name w:val="annotation reference"/>
    <w:basedOn w:val="22"/>
    <w:semiHidden/>
    <w:qFormat/>
    <w:uiPriority w:val="99"/>
    <w:rPr>
      <w:rFonts w:cs="Times New Roman"/>
      <w:sz w:val="21"/>
      <w:szCs w:val="21"/>
    </w:rPr>
  </w:style>
  <w:style w:type="paragraph" w:customStyle="1" w:styleId="2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7">
    <w:name w:val="批注文字 字符"/>
    <w:basedOn w:val="22"/>
    <w:link w:val="9"/>
    <w:semiHidden/>
    <w:qFormat/>
    <w:locked/>
    <w:uiPriority w:val="99"/>
    <w:rPr>
      <w:rFonts w:ascii="Tahoma" w:hAnsi="Tahoma" w:eastAsia="微软雅黑" w:cs="Times New Roman"/>
      <w:kern w:val="0"/>
      <w:sz w:val="22"/>
    </w:rPr>
  </w:style>
  <w:style w:type="character" w:customStyle="1" w:styleId="28">
    <w:name w:val="批注主题 字符"/>
    <w:basedOn w:val="27"/>
    <w:link w:val="18"/>
    <w:semiHidden/>
    <w:qFormat/>
    <w:locked/>
    <w:uiPriority w:val="99"/>
    <w:rPr>
      <w:rFonts w:ascii="Tahoma" w:hAnsi="Tahoma" w:eastAsia="微软雅黑" w:cs="Times New Roman"/>
      <w:b/>
      <w:bCs/>
      <w:kern w:val="0"/>
      <w:sz w:val="22"/>
    </w:rPr>
  </w:style>
  <w:style w:type="character" w:customStyle="1" w:styleId="29">
    <w:name w:val="正文文本 字符"/>
    <w:basedOn w:val="22"/>
    <w:link w:val="10"/>
    <w:semiHidden/>
    <w:qFormat/>
    <w:locked/>
    <w:uiPriority w:val="99"/>
    <w:rPr>
      <w:rFonts w:ascii="Tahoma" w:hAnsi="Tahoma" w:eastAsia="微软雅黑" w:cs="Times New Roman"/>
      <w:kern w:val="0"/>
      <w:sz w:val="22"/>
    </w:rPr>
  </w:style>
  <w:style w:type="character" w:customStyle="1" w:styleId="30">
    <w:name w:val="Plain Text Char"/>
    <w:basedOn w:val="22"/>
    <w:semiHidden/>
    <w:qFormat/>
    <w:locked/>
    <w:uiPriority w:val="99"/>
    <w:rPr>
      <w:rFonts w:ascii="宋体" w:hAnsi="Courier New" w:cs="Courier New"/>
      <w:kern w:val="0"/>
      <w:sz w:val="21"/>
      <w:szCs w:val="21"/>
    </w:rPr>
  </w:style>
  <w:style w:type="character" w:customStyle="1" w:styleId="31">
    <w:name w:val="批注框文本 字符"/>
    <w:basedOn w:val="22"/>
    <w:link w:val="13"/>
    <w:semiHidden/>
    <w:qFormat/>
    <w:locked/>
    <w:uiPriority w:val="99"/>
    <w:rPr>
      <w:rFonts w:ascii="Tahoma" w:hAnsi="Tahoma" w:eastAsia="微软雅黑" w:cs="Times New Roman"/>
      <w:kern w:val="0"/>
      <w:sz w:val="2"/>
    </w:rPr>
  </w:style>
  <w:style w:type="character" w:customStyle="1" w:styleId="32">
    <w:name w:val="页脚 字符"/>
    <w:basedOn w:val="22"/>
    <w:link w:val="14"/>
    <w:semiHidden/>
    <w:qFormat/>
    <w:locked/>
    <w:uiPriority w:val="99"/>
    <w:rPr>
      <w:rFonts w:ascii="Tahoma" w:hAnsi="Tahoma" w:eastAsia="微软雅黑" w:cs="Times New Roman"/>
      <w:kern w:val="0"/>
      <w:sz w:val="18"/>
      <w:szCs w:val="18"/>
    </w:rPr>
  </w:style>
  <w:style w:type="character" w:customStyle="1" w:styleId="33">
    <w:name w:val="页眉 字符"/>
    <w:basedOn w:val="22"/>
    <w:link w:val="15"/>
    <w:semiHidden/>
    <w:qFormat/>
    <w:locked/>
    <w:uiPriority w:val="99"/>
    <w:rPr>
      <w:rFonts w:ascii="Tahoma" w:hAnsi="Tahoma" w:eastAsia="微软雅黑" w:cs="Times New Roman"/>
      <w:kern w:val="0"/>
      <w:sz w:val="18"/>
      <w:szCs w:val="18"/>
    </w:rPr>
  </w:style>
  <w:style w:type="character" w:customStyle="1" w:styleId="34">
    <w:name w:val="纯文本 字符"/>
    <w:link w:val="12"/>
    <w:qFormat/>
    <w:locked/>
    <w:uiPriority w:val="99"/>
    <w:rPr>
      <w:rFonts w:ascii="宋体" w:eastAsia="宋体"/>
      <w:sz w:val="21"/>
      <w:lang w:val="en-US" w:eastAsia="zh-CN"/>
    </w:rPr>
  </w:style>
  <w:style w:type="character" w:customStyle="1" w:styleId="35">
    <w:name w:val="gjfg"/>
    <w:basedOn w:val="22"/>
    <w:qFormat/>
    <w:uiPriority w:val="99"/>
    <w:rPr>
      <w:rFonts w:cs="Times New Roman"/>
    </w:rPr>
  </w:style>
  <w:style w:type="character" w:customStyle="1" w:styleId="36">
    <w:name w:val="cfdate"/>
    <w:basedOn w:val="22"/>
    <w:qFormat/>
    <w:uiPriority w:val="99"/>
    <w:rPr>
      <w:rFonts w:cs="Times New Roman"/>
      <w:color w:val="333333"/>
      <w:sz w:val="18"/>
      <w:szCs w:val="18"/>
    </w:rPr>
  </w:style>
  <w:style w:type="character" w:customStyle="1" w:styleId="37">
    <w:name w:val="displayarti"/>
    <w:basedOn w:val="22"/>
    <w:qFormat/>
    <w:uiPriority w:val="99"/>
    <w:rPr>
      <w:rFonts w:cs="Times New Roman"/>
      <w:color w:val="FFFFFF"/>
      <w:shd w:val="clear" w:color="auto" w:fill="A00000"/>
    </w:rPr>
  </w:style>
  <w:style w:type="character" w:customStyle="1" w:styleId="38">
    <w:name w:val="redfilenumber"/>
    <w:basedOn w:val="22"/>
    <w:qFormat/>
    <w:uiPriority w:val="99"/>
    <w:rPr>
      <w:rFonts w:cs="Times New Roman"/>
      <w:color w:val="BA2636"/>
      <w:sz w:val="18"/>
      <w:szCs w:val="18"/>
    </w:rPr>
  </w:style>
  <w:style w:type="character" w:customStyle="1" w:styleId="39">
    <w:name w:val="qxdate"/>
    <w:basedOn w:val="22"/>
    <w:qFormat/>
    <w:uiPriority w:val="99"/>
    <w:rPr>
      <w:rFonts w:cs="Times New Roman"/>
      <w:color w:val="333333"/>
      <w:sz w:val="18"/>
      <w:szCs w:val="18"/>
    </w:rPr>
  </w:style>
  <w:style w:type="character" w:customStyle="1" w:styleId="40">
    <w:name w:val="redfilefwwh"/>
    <w:basedOn w:val="22"/>
    <w:qFormat/>
    <w:uiPriority w:val="99"/>
    <w:rPr>
      <w:rFonts w:cs="Times New Roman"/>
      <w:color w:val="BA2636"/>
      <w:sz w:val="18"/>
      <w:szCs w:val="18"/>
    </w:rPr>
  </w:style>
  <w:style w:type="paragraph" w:customStyle="1" w:styleId="41">
    <w:name w:val="修订1"/>
    <w:hidden/>
    <w:qFormat/>
    <w:uiPriority w:val="99"/>
    <w:rPr>
      <w:rFonts w:ascii="Tahoma" w:hAnsi="Tahoma" w:eastAsia="微软雅黑" w:cs="Times New Roman"/>
      <w:sz w:val="22"/>
      <w:szCs w:val="22"/>
      <w:lang w:val="en-US" w:eastAsia="zh-CN" w:bidi="ar-SA"/>
    </w:rPr>
  </w:style>
  <w:style w:type="character" w:customStyle="1" w:styleId="42">
    <w:name w:val="font31"/>
    <w:basedOn w:val="22"/>
    <w:qFormat/>
    <w:uiPriority w:val="0"/>
    <w:rPr>
      <w:rFonts w:hint="eastAsia" w:ascii="宋体" w:hAnsi="宋体" w:eastAsia="宋体" w:cs="宋体"/>
      <w:color w:val="000000"/>
      <w:sz w:val="22"/>
      <w:szCs w:val="22"/>
      <w:u w:val="none"/>
    </w:rPr>
  </w:style>
  <w:style w:type="character" w:customStyle="1" w:styleId="43">
    <w:name w:val="font01"/>
    <w:basedOn w:val="22"/>
    <w:qFormat/>
    <w:uiPriority w:val="0"/>
    <w:rPr>
      <w:rFonts w:hint="eastAsia" w:ascii="宋体" w:hAnsi="宋体" w:eastAsia="宋体" w:cs="宋体"/>
      <w:color w:val="000000"/>
      <w:sz w:val="22"/>
      <w:szCs w:val="22"/>
      <w:u w:val="none"/>
    </w:rPr>
  </w:style>
  <w:style w:type="character" w:customStyle="1" w:styleId="44">
    <w:name w:val="NormalCharacter"/>
    <w:semiHidden/>
    <w:qFormat/>
    <w:uiPriority w:val="0"/>
    <w:rPr>
      <w:kern w:val="2"/>
      <w:sz w:val="21"/>
      <w:szCs w:val="24"/>
      <w:lang w:val="en-US" w:eastAsia="zh-CN" w:bidi="ar-SA"/>
    </w:rPr>
  </w:style>
  <w:style w:type="paragraph" w:customStyle="1" w:styleId="45">
    <w:name w:val="TOC5"/>
    <w:basedOn w:val="1"/>
    <w:next w:val="1"/>
    <w:qFormat/>
    <w:uiPriority w:val="0"/>
    <w:pPr>
      <w:ind w:left="1680" w:leftChars="800"/>
      <w:jc w:val="both"/>
      <w:textAlignment w:val="baseline"/>
    </w:pPr>
    <w:rPr>
      <w:rFonts w:ascii="Calibri" w:hAnsi="Calibri"/>
      <w:sz w:val="24"/>
    </w:rPr>
  </w:style>
  <w:style w:type="paragraph" w:customStyle="1" w:styleId="46">
    <w:name w:val="PlainText"/>
    <w:basedOn w:val="1"/>
    <w:next w:val="47"/>
    <w:qFormat/>
    <w:uiPriority w:val="0"/>
    <w:pPr>
      <w:jc w:val="both"/>
      <w:textAlignment w:val="baseline"/>
    </w:pPr>
    <w:rPr>
      <w:rFonts w:ascii="宋体" w:hAnsi="Courier New"/>
      <w:sz w:val="21"/>
      <w:szCs w:val="21"/>
    </w:rPr>
  </w:style>
  <w:style w:type="paragraph" w:customStyle="1" w:styleId="47">
    <w:name w:val="Heading4"/>
    <w:basedOn w:val="1"/>
    <w:next w:val="1"/>
    <w:qFormat/>
    <w:uiPriority w:val="0"/>
    <w:pPr>
      <w:keepNext/>
      <w:keepLines/>
      <w:spacing w:line="360" w:lineRule="auto"/>
      <w:jc w:val="both"/>
      <w:textAlignment w:val="baseline"/>
    </w:pPr>
    <w:rPr>
      <w:rFonts w:ascii="Arial" w:hAnsi="Arial"/>
      <w:b/>
      <w:kern w:val="2"/>
      <w:sz w:val="28"/>
      <w:szCs w:val="20"/>
    </w:rPr>
  </w:style>
  <w:style w:type="character" w:customStyle="1" w:styleId="48">
    <w:name w:val="font61"/>
    <w:basedOn w:val="22"/>
    <w:qFormat/>
    <w:uiPriority w:val="0"/>
    <w:rPr>
      <w:rFonts w:ascii="Calibri" w:hAnsi="Calibri" w:cs="Calibri"/>
      <w:color w:val="000000"/>
      <w:sz w:val="20"/>
      <w:szCs w:val="20"/>
      <w:u w:val="none"/>
    </w:rPr>
  </w:style>
  <w:style w:type="character" w:customStyle="1" w:styleId="49">
    <w:name w:val="font51"/>
    <w:basedOn w:val="22"/>
    <w:qFormat/>
    <w:uiPriority w:val="0"/>
    <w:rPr>
      <w:rFonts w:hint="eastAsia" w:ascii="宋体" w:hAnsi="宋体" w:eastAsia="宋体" w:cs="宋体"/>
      <w:color w:val="000000"/>
      <w:sz w:val="20"/>
      <w:szCs w:val="20"/>
      <w:u w:val="none"/>
    </w:rPr>
  </w:style>
  <w:style w:type="character" w:customStyle="1" w:styleId="50">
    <w:name w:val="font41"/>
    <w:basedOn w:val="22"/>
    <w:qFormat/>
    <w:uiPriority w:val="0"/>
    <w:rPr>
      <w:rFonts w:hint="eastAsia" w:ascii="宋体" w:hAnsi="宋体" w:eastAsia="宋体" w:cs="宋体"/>
      <w:color w:val="FF0000"/>
      <w:sz w:val="18"/>
      <w:szCs w:val="18"/>
      <w:u w:val="none"/>
    </w:rPr>
  </w:style>
  <w:style w:type="character" w:customStyle="1" w:styleId="51">
    <w:name w:val="font21"/>
    <w:basedOn w:val="22"/>
    <w:qFormat/>
    <w:uiPriority w:val="0"/>
    <w:rPr>
      <w:rFonts w:hint="eastAsia" w:ascii="宋体" w:hAnsi="宋体" w:eastAsia="宋体" w:cs="宋体"/>
      <w:color w:val="000000"/>
      <w:sz w:val="20"/>
      <w:szCs w:val="20"/>
      <w:u w:val="none"/>
    </w:rPr>
  </w:style>
  <w:style w:type="character" w:customStyle="1" w:styleId="52">
    <w:name w:val="font71"/>
    <w:basedOn w:val="22"/>
    <w:qFormat/>
    <w:uiPriority w:val="0"/>
    <w:rPr>
      <w:rFonts w:hint="eastAsia" w:ascii="宋体" w:hAnsi="宋体" w:eastAsia="宋体" w:cs="宋体"/>
      <w:color w:val="FF0000"/>
      <w:sz w:val="18"/>
      <w:szCs w:val="18"/>
      <w:u w:val="none"/>
    </w:rPr>
  </w:style>
  <w:style w:type="paragraph" w:customStyle="1" w:styleId="53">
    <w:name w:val="Table Paragraph"/>
    <w:qFormat/>
    <w:uiPriority w:val="1"/>
    <w:pPr>
      <w:widowControl w:val="0"/>
    </w:pPr>
    <w:rPr>
      <w:rFonts w:ascii="Calibri" w:hAnsi="Calibri" w:eastAsia="宋体" w:cs="Times New Roman"/>
      <w:sz w:val="22"/>
      <w:szCs w:val="22"/>
      <w:lang w:val="en-US" w:eastAsia="en-US" w:bidi="ar-SA"/>
    </w:rPr>
  </w:style>
  <w:style w:type="paragraph" w:customStyle="1" w:styleId="54">
    <w:name w:val="Body text|1"/>
    <w:basedOn w:val="1"/>
    <w:qFormat/>
    <w:uiPriority w:val="99"/>
    <w:pPr>
      <w:spacing w:line="408" w:lineRule="auto"/>
      <w:ind w:firstLine="400"/>
    </w:pPr>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1978</Words>
  <Characters>2685</Characters>
  <Lines>230</Lines>
  <Paragraphs>65</Paragraphs>
  <TotalTime>3</TotalTime>
  <ScaleCrop>false</ScaleCrop>
  <LinksUpToDate>false</LinksUpToDate>
  <CharactersWithSpaces>2780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教头</dc:creator>
  <cp:lastModifiedBy>自治县中医医院</cp:lastModifiedBy>
  <cp:lastPrinted>2025-11-07T07:35:00Z</cp:lastPrinted>
  <dcterms:modified xsi:type="dcterms:W3CDTF">2025-11-10T09:53:50Z</dcterms:modified>
  <dc:title>广西天柱建设管理有限公司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129D6EA659E04D859AC3DAB5B051CA3C</vt:lpwstr>
  </property>
  <property fmtid="{D5CDD505-2E9C-101B-9397-08002B2CF9AE}" pid="4" name="KSOTemplateDocerSaveRecord">
    <vt:lpwstr>eyJoZGlkIjoiZmU4Y2ZjZTJmYTVmYWQyNGYxODJmMzhhNGNiZGRkZDQiLCJ1c2VySWQiOiI3NDI3NzM4MzEifQ==</vt:lpwstr>
  </property>
</Properties>
</file>