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27305</wp:posOffset>
                </wp:positionV>
                <wp:extent cx="5944235" cy="8255"/>
                <wp:effectExtent l="0" t="13970" r="14605" b="23495"/>
                <wp:wrapNone/>
                <wp:docPr id="2"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6.75pt;margin-top:2.15pt;height:0.65pt;width:468.05pt;z-index:251662336;mso-width-relative:page;mso-height-relative:page;" filled="f" stroked="t" coordsize="21600,21600" o:gfxdata="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7h&#10;eXvVAAAABgEAAA8AAAAAAAAAAQAgAAAAIgAAAGRycy9kb3ducmV2LnhtbFBLAQIUABQAAAAIAIdO&#10;4kCHyPVk7QEAAOsDAAAOAAAAAAAAAAEAIAAAACQBAABkcnMvZTJvRG9jLnhtbFBLBQYAAAAABgAG&#10;AFkBAACDBQAAAAA=&#10;">
                <v:fill on="f" focussize="0,0"/>
                <v:stroke weight="2.25pt" color="#000000" joinstyle="round"/>
                <v:imagedata o:title=""/>
                <o:lock v:ext="edit" aspectratio="f"/>
              </v:line>
            </w:pict>
          </mc:Fallback>
        </mc:AlternateContent>
      </w: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jc w:val="center"/>
        <w:rPr>
          <w:rFonts w:ascii="宋体" w:hAnsi="宋体" w:eastAsia="宋体" w:cs="宋体"/>
          <w:color w:val="auto"/>
          <w:sz w:val="90"/>
          <w:szCs w:val="90"/>
          <w:highlight w:val="none"/>
        </w:rPr>
      </w:pPr>
      <w:r>
        <w:rPr>
          <w:rFonts w:hint="eastAsia" w:ascii="宋体" w:hAnsi="宋体" w:eastAsia="宋体" w:cs="宋体"/>
          <w:color w:val="auto"/>
          <w:sz w:val="90"/>
          <w:szCs w:val="90"/>
          <w:highlight w:val="none"/>
        </w:rPr>
        <w:t>竞争性谈判采购文件</w:t>
      </w:r>
    </w:p>
    <w:p>
      <w:pPr>
        <w:rPr>
          <w:rFonts w:ascii="宋体" w:hAnsi="宋体" w:eastAsia="宋体" w:cs="宋体"/>
          <w:color w:val="auto"/>
          <w:sz w:val="52"/>
          <w:highlight w:val="none"/>
        </w:rPr>
      </w:pPr>
    </w:p>
    <w:p>
      <w:pPr>
        <w:pStyle w:val="5"/>
        <w:rPr>
          <w:rFonts w:ascii="宋体" w:hAnsi="宋体" w:eastAsia="宋体" w:cs="宋体"/>
          <w:color w:val="auto"/>
          <w:highlight w:val="none"/>
        </w:rPr>
      </w:pPr>
    </w:p>
    <w:p>
      <w:pPr>
        <w:rPr>
          <w:rFonts w:ascii="宋体" w:hAnsi="宋体" w:eastAsia="宋体" w:cs="宋体"/>
          <w:color w:val="auto"/>
          <w:sz w:val="32"/>
          <w:highlight w:val="none"/>
        </w:rPr>
      </w:pPr>
    </w:p>
    <w:p>
      <w:pPr>
        <w:spacing w:line="480" w:lineRule="auto"/>
        <w:ind w:right="268" w:rightChars="122"/>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项目名称：</w:t>
      </w:r>
      <w:bookmarkStart w:id="0" w:name="OLE_LINK3"/>
      <w:r>
        <w:rPr>
          <w:rFonts w:hint="eastAsia" w:ascii="宋体" w:hAnsi="宋体" w:eastAsia="宋体" w:cs="宋体"/>
          <w:b/>
          <w:color w:val="auto"/>
          <w:sz w:val="30"/>
          <w:szCs w:val="30"/>
          <w:highlight w:val="none"/>
          <w:u w:val="single"/>
          <w:lang w:eastAsia="zh-CN"/>
        </w:rPr>
        <w:t>隆林各族自治县中医医院射频控温热凝器设备采购项目</w:t>
      </w:r>
      <w:bookmarkEnd w:id="0"/>
    </w:p>
    <w:p>
      <w:pPr>
        <w:spacing w:line="480" w:lineRule="auto"/>
        <w:ind w:right="-609" w:rightChars="-277" w:firstLine="1500" w:firstLineChars="500"/>
        <w:jc w:val="both"/>
        <w:rPr>
          <w:rFonts w:hint="eastAsia" w:ascii="宋体" w:hAnsi="宋体" w:eastAsia="宋体" w:cs="宋体"/>
          <w:b/>
          <w:color w:val="auto"/>
          <w:sz w:val="30"/>
          <w:szCs w:val="30"/>
          <w:highlight w:val="none"/>
          <w:u w:val="single"/>
          <w:lang w:val="en-US" w:eastAsia="zh-CN"/>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LLXZYYY20250033 </w:t>
      </w:r>
    </w:p>
    <w:p>
      <w:pPr>
        <w:pStyle w:val="16"/>
        <w:rPr>
          <w:rFonts w:hint="eastAsia" w:ascii="宋体" w:hAnsi="宋体" w:eastAsia="宋体" w:cs="宋体"/>
          <w:b/>
          <w:color w:val="auto"/>
          <w:sz w:val="30"/>
          <w:szCs w:val="30"/>
          <w:highlight w:val="none"/>
          <w:u w:val="single"/>
          <w:lang w:val="en-US" w:eastAsia="zh-CN"/>
        </w:rPr>
      </w:pPr>
    </w:p>
    <w:p>
      <w:pPr>
        <w:rPr>
          <w:rFonts w:hint="eastAsia" w:ascii="宋体" w:hAnsi="宋体" w:eastAsia="宋体" w:cs="宋体"/>
          <w:b/>
          <w:color w:val="auto"/>
          <w:sz w:val="30"/>
          <w:szCs w:val="30"/>
          <w:highlight w:val="none"/>
          <w:u w:val="single"/>
          <w:lang w:val="en-US" w:eastAsia="zh-CN"/>
        </w:rPr>
      </w:pPr>
    </w:p>
    <w:p>
      <w:pPr>
        <w:pStyle w:val="16"/>
        <w:rPr>
          <w:rFonts w:hint="eastAsia" w:ascii="宋体" w:hAnsi="宋体" w:eastAsia="宋体" w:cs="宋体"/>
          <w:b/>
          <w:color w:val="auto"/>
          <w:sz w:val="30"/>
          <w:szCs w:val="30"/>
          <w:highlight w:val="none"/>
          <w:u w:val="single"/>
          <w:lang w:val="en-US" w:eastAsia="zh-CN"/>
        </w:rPr>
      </w:pPr>
    </w:p>
    <w:p>
      <w:pPr>
        <w:rPr>
          <w:rFonts w:hint="eastAsia" w:ascii="宋体" w:hAnsi="宋体" w:eastAsia="宋体" w:cs="宋体"/>
          <w:b/>
          <w:color w:val="auto"/>
          <w:sz w:val="30"/>
          <w:szCs w:val="30"/>
          <w:highlight w:val="none"/>
          <w:u w:val="single"/>
          <w:lang w:val="en-US" w:eastAsia="zh-CN"/>
        </w:rPr>
      </w:pPr>
    </w:p>
    <w:p>
      <w:pPr>
        <w:pStyle w:val="16"/>
        <w:rPr>
          <w:rFonts w:hint="default"/>
          <w:lang w:val="en-US" w:eastAsia="zh-CN"/>
        </w:rPr>
      </w:pPr>
    </w:p>
    <w:p>
      <w:pPr>
        <w:spacing w:line="400" w:lineRule="exact"/>
        <w:rPr>
          <w:rFonts w:ascii="宋体" w:hAnsi="宋体" w:eastAsia="宋体" w:cs="宋体"/>
          <w:color w:val="auto"/>
          <w:sz w:val="32"/>
          <w:highlight w:val="none"/>
        </w:rPr>
      </w:pPr>
    </w:p>
    <w:p>
      <w:pPr>
        <w:pStyle w:val="2"/>
        <w:ind w:firstLine="0"/>
        <w:rPr>
          <w:rFonts w:ascii="宋体" w:hAnsi="宋体" w:eastAsia="宋体" w:cs="宋体"/>
          <w:color w:val="auto"/>
          <w:highlight w:val="none"/>
        </w:rPr>
      </w:pPr>
    </w:p>
    <w:p>
      <w:pPr>
        <w:pStyle w:val="2"/>
        <w:ind w:firstLine="0"/>
        <w:rPr>
          <w:rFonts w:ascii="宋体" w:hAnsi="宋体" w:eastAsia="宋体" w:cs="宋体"/>
          <w:color w:val="auto"/>
          <w:highlight w:val="none"/>
        </w:rPr>
      </w:pPr>
    </w:p>
    <w:p>
      <w:pPr>
        <w:jc w:val="center"/>
        <w:rPr>
          <w:rFonts w:ascii="宋体" w:hAnsi="宋体" w:eastAsia="宋体" w:cs="宋体"/>
          <w:color w:val="auto"/>
          <w:sz w:val="3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158750</wp:posOffset>
                </wp:positionV>
                <wp:extent cx="5896610" cy="3175"/>
                <wp:effectExtent l="0" t="13970" r="1270" b="28575"/>
                <wp:wrapNone/>
                <wp:docPr id="1" name="直线 3"/>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5.25pt;margin-top:12.5pt;height:0.25pt;width:464.3pt;z-index:251661312;mso-width-relative:page;mso-height-relative:page;" filled="f" stroked="t" coordsize="21600,21600" o:gfxdata="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NS4i1wAA&#10;AAkBAAAPAAAAAAAAAAEAIAAAACIAAABkcnMvZG93bnJldi54bWxQSwECFAAUAAAACACHTuJAtyKt&#10;S+YBAADhAwAADgAAAAAAAAABACAAAAAmAQAAZHJzL2Uyb0RvYy54bWxQSwUGAAAAAAYABgBZAQAA&#10;fgUAAAAA&#10;">
                <v:fill on="f" focussize="0,0"/>
                <v:stroke weight="2.25pt" color="#000000" joinstyle="round"/>
                <v:imagedata o:title=""/>
                <o:lock v:ext="edit" aspectratio="f"/>
              </v:line>
            </w:pict>
          </mc:Fallback>
        </mc:AlternateContent>
      </w:r>
    </w:p>
    <w:p>
      <w:pPr>
        <w:ind w:firstLine="960" w:firstLineChars="3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 xml:space="preserve">采购单位： </w:t>
      </w:r>
      <w:r>
        <w:rPr>
          <w:rFonts w:hint="eastAsia" w:ascii="宋体" w:hAnsi="宋体" w:eastAsia="宋体" w:cs="宋体"/>
          <w:b/>
          <w:color w:val="auto"/>
          <w:sz w:val="32"/>
          <w:highlight w:val="none"/>
          <w:lang w:eastAsia="zh-CN"/>
        </w:rPr>
        <w:t>隆林各族自治县中医医院</w:t>
      </w:r>
    </w:p>
    <w:p>
      <w:pPr>
        <w:spacing w:line="600" w:lineRule="exact"/>
        <w:ind w:firstLine="3520" w:firstLineChars="1100"/>
        <w:rPr>
          <w:rFonts w:ascii="宋体" w:hAnsi="宋体" w:eastAsia="宋体" w:cs="宋体"/>
          <w:b/>
          <w:color w:val="auto"/>
          <w:sz w:val="32"/>
          <w:highlight w:val="none"/>
        </w:rPr>
      </w:pP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lang w:val="en-US" w:eastAsia="zh-CN"/>
        </w:rPr>
        <w:t>10</w:t>
      </w:r>
      <w:r>
        <w:rPr>
          <w:rFonts w:hint="eastAsia" w:ascii="宋体" w:hAnsi="宋体" w:eastAsia="宋体" w:cs="宋体"/>
          <w:b/>
          <w:color w:val="auto"/>
          <w:sz w:val="32"/>
          <w:highlight w:val="none"/>
        </w:rPr>
        <w:t>月</w:t>
      </w:r>
    </w:p>
    <w:p>
      <w:pPr>
        <w:spacing w:line="600" w:lineRule="exact"/>
        <w:ind w:firstLine="3040"/>
        <w:rPr>
          <w:rFonts w:ascii="宋体" w:hAnsi="宋体" w:eastAsia="宋体" w:cs="宋体"/>
          <w:color w:val="auto"/>
          <w:highlight w:val="none"/>
        </w:rPr>
        <w:sectPr>
          <w:headerReference r:id="rId6" w:type="first"/>
          <w:headerReference r:id="rId4" w:type="default"/>
          <w:footerReference r:id="rId7" w:type="default"/>
          <w:headerReference r:id="rId5" w:type="even"/>
          <w:footerReference r:id="rId8" w:type="even"/>
          <w:pgSz w:w="11906" w:h="16838"/>
          <w:pgMar w:top="1418" w:right="1418" w:bottom="1418" w:left="1418" w:header="851" w:footer="992" w:gutter="0"/>
          <w:pgNumType w:start="1"/>
          <w:cols w:space="720" w:num="1"/>
          <w:titlePg/>
          <w:docGrid w:type="linesAndChars" w:linePitch="312" w:charSpace="0"/>
        </w:sectPr>
      </w:pPr>
    </w:p>
    <w:p>
      <w:pPr>
        <w:jc w:val="center"/>
        <w:rPr>
          <w:rFonts w:ascii="宋体" w:hAnsi="宋体" w:eastAsia="宋体" w:cs="宋体"/>
          <w:b/>
          <w:bCs/>
          <w:color w:val="auto"/>
          <w:sz w:val="32"/>
          <w:szCs w:val="32"/>
          <w:highlight w:val="none"/>
        </w:rPr>
      </w:pPr>
    </w:p>
    <w:p>
      <w:pPr>
        <w:spacing w:line="360" w:lineRule="auto"/>
        <w:jc w:val="center"/>
        <w:outlineLvl w:val="0"/>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outlineLvl w:val="0"/>
        <w:rPr>
          <w:rFonts w:ascii="宋体" w:hAnsi="宋体"/>
          <w:b/>
          <w:color w:val="auto"/>
          <w:sz w:val="44"/>
          <w:szCs w:val="44"/>
          <w:highlight w:val="none"/>
        </w:rPr>
      </w:pPr>
    </w:p>
    <w:p>
      <w:pPr>
        <w:pStyle w:val="17"/>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eastAsia="zh-CN"/>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"1-3" \h \z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"_Toc35611510" </w:instrText>
      </w:r>
      <w:r>
        <w:rPr>
          <w:color w:val="auto"/>
          <w:highlight w:val="none"/>
        </w:rPr>
        <w:fldChar w:fldCharType="separate"/>
      </w:r>
      <w:r>
        <w:rPr>
          <w:rStyle w:val="25"/>
          <w:rFonts w:hint="eastAsia"/>
          <w:color w:val="auto"/>
          <w:sz w:val="28"/>
          <w:szCs w:val="28"/>
          <w:highlight w:val="none"/>
        </w:rPr>
        <w:t>第一章</w:t>
      </w:r>
      <w:r>
        <w:rPr>
          <w:rStyle w:val="25"/>
          <w:color w:val="auto"/>
          <w:sz w:val="28"/>
          <w:szCs w:val="28"/>
          <w:highlight w:val="none"/>
        </w:rPr>
        <w:t xml:space="preserve"> </w:t>
      </w:r>
      <w:r>
        <w:rPr>
          <w:rStyle w:val="25"/>
          <w:rFonts w:hint="eastAsia"/>
          <w:color w:val="auto"/>
          <w:sz w:val="28"/>
          <w:szCs w:val="28"/>
          <w:highlight w:val="none"/>
        </w:rPr>
        <w:t>竞争性谈判公告</w:t>
      </w:r>
      <w:r>
        <w:rPr>
          <w:rFonts w:hint="eastAsia"/>
          <w:color w:val="auto"/>
          <w:sz w:val="28"/>
          <w:szCs w:val="28"/>
          <w:highlight w:val="none"/>
          <w:lang w:val="en-US" w:eastAsia="zh-CN"/>
        </w:rPr>
        <w:t>.</w:t>
      </w:r>
      <w:r>
        <w:rPr>
          <w:color w:val="auto"/>
          <w:sz w:val="28"/>
          <w:szCs w:val="28"/>
          <w:highlight w:val="none"/>
        </w:rPr>
        <w:fldChar w:fldCharType="end"/>
      </w:r>
      <w:r>
        <w:rPr>
          <w:rFonts w:hint="eastAsia"/>
          <w:color w:val="auto"/>
          <w:sz w:val="28"/>
          <w:szCs w:val="28"/>
          <w:highlight w:val="none"/>
          <w:lang w:val="en-US" w:eastAsia="zh-CN"/>
        </w:rPr>
        <w:t>..........................................................1</w:t>
      </w:r>
    </w:p>
    <w:p>
      <w:pPr>
        <w:pStyle w:val="17"/>
        <w:tabs>
          <w:tab w:val="right" w:leader="dot" w:pos="9040"/>
          <w:tab w:val="clear" w:pos="8296"/>
        </w:tabs>
        <w:spacing w:line="360" w:lineRule="auto"/>
        <w:ind w:left="440"/>
        <w:outlineLvl w:val="0"/>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"_Toc35611511" </w:instrText>
      </w:r>
      <w:r>
        <w:rPr>
          <w:color w:val="auto"/>
          <w:highlight w:val="none"/>
        </w:rPr>
        <w:fldChar w:fldCharType="separate"/>
      </w:r>
      <w:r>
        <w:rPr>
          <w:rStyle w:val="25"/>
          <w:rFonts w:hint="eastAsia"/>
          <w:color w:val="auto"/>
          <w:sz w:val="28"/>
          <w:szCs w:val="28"/>
          <w:highlight w:val="none"/>
        </w:rPr>
        <w:t>第二章</w:t>
      </w:r>
      <w:r>
        <w:rPr>
          <w:rStyle w:val="25"/>
          <w:color w:val="auto"/>
          <w:sz w:val="28"/>
          <w:szCs w:val="28"/>
          <w:highlight w:val="none"/>
        </w:rPr>
        <w:t xml:space="preserve"> </w:t>
      </w:r>
      <w:r>
        <w:rPr>
          <w:rStyle w:val="25"/>
          <w:rFonts w:hint="eastAsia"/>
          <w:color w:val="auto"/>
          <w:sz w:val="28"/>
          <w:szCs w:val="28"/>
          <w:highlight w:val="none"/>
        </w:rPr>
        <w:t>供应商须知及前附表</w:t>
      </w:r>
      <w:r>
        <w:rPr>
          <w:rFonts w:hint="eastAsia"/>
          <w:color w:val="auto"/>
          <w:sz w:val="28"/>
          <w:szCs w:val="28"/>
          <w:highlight w:val="none"/>
          <w:lang w:val="en-US" w:eastAsia="zh-CN"/>
        </w:rPr>
        <w:t>....................................................4</w:t>
      </w:r>
      <w:r>
        <w:rPr>
          <w:rFonts w:hint="eastAsia"/>
          <w:color w:val="auto"/>
          <w:sz w:val="28"/>
          <w:szCs w:val="28"/>
          <w:highlight w:val="none"/>
        </w:rPr>
        <w:fldChar w:fldCharType="end"/>
      </w:r>
    </w:p>
    <w:p>
      <w:pPr>
        <w:pStyle w:val="17"/>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"_Toc35611512" </w:instrText>
      </w:r>
      <w:r>
        <w:rPr>
          <w:color w:val="auto"/>
          <w:highlight w:val="none"/>
        </w:rPr>
        <w:fldChar w:fldCharType="separate"/>
      </w:r>
      <w:r>
        <w:rPr>
          <w:rStyle w:val="25"/>
          <w:rFonts w:hint="eastAsia"/>
          <w:color w:val="auto"/>
          <w:sz w:val="28"/>
          <w:szCs w:val="28"/>
          <w:highlight w:val="none"/>
        </w:rPr>
        <w:t>第三章</w:t>
      </w:r>
      <w:r>
        <w:rPr>
          <w:rStyle w:val="25"/>
          <w:color w:val="auto"/>
          <w:sz w:val="28"/>
          <w:szCs w:val="28"/>
          <w:highlight w:val="none"/>
        </w:rPr>
        <w:t xml:space="preserve"> </w:t>
      </w:r>
      <w:r>
        <w:rPr>
          <w:rStyle w:val="25"/>
          <w:rFonts w:hint="eastAsia"/>
          <w:color w:val="auto"/>
          <w:sz w:val="28"/>
          <w:szCs w:val="28"/>
          <w:highlight w:val="none"/>
        </w:rPr>
        <w:t>货物需求一览表</w:t>
      </w:r>
      <w:r>
        <w:rPr>
          <w:rFonts w:hint="eastAsia"/>
          <w:color w:val="auto"/>
          <w:sz w:val="28"/>
          <w:szCs w:val="28"/>
          <w:highlight w:val="none"/>
          <w:lang w:val="en-US" w:eastAsia="zh-CN"/>
        </w:rPr>
        <w:t>...........................................................</w:t>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lang w:val="en-US" w:eastAsia="zh-CN"/>
        </w:rPr>
        <w:t>2</w:t>
      </w:r>
    </w:p>
    <w:p>
      <w:pPr>
        <w:pStyle w:val="17"/>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"_Toc35611513" </w:instrText>
      </w:r>
      <w:r>
        <w:rPr>
          <w:color w:val="auto"/>
          <w:highlight w:val="none"/>
        </w:rPr>
        <w:fldChar w:fldCharType="separate"/>
      </w:r>
      <w:r>
        <w:rPr>
          <w:rStyle w:val="25"/>
          <w:rFonts w:hint="eastAsia"/>
          <w:color w:val="auto"/>
          <w:sz w:val="28"/>
          <w:szCs w:val="28"/>
          <w:highlight w:val="none"/>
        </w:rPr>
        <w:t>第四章</w:t>
      </w:r>
      <w:r>
        <w:rPr>
          <w:rStyle w:val="25"/>
          <w:color w:val="auto"/>
          <w:sz w:val="28"/>
          <w:szCs w:val="28"/>
          <w:highlight w:val="none"/>
        </w:rPr>
        <w:t xml:space="preserve"> </w:t>
      </w:r>
      <w:r>
        <w:rPr>
          <w:rStyle w:val="25"/>
          <w:rFonts w:hint="eastAsia"/>
          <w:color w:val="auto"/>
          <w:sz w:val="28"/>
          <w:szCs w:val="28"/>
          <w:highlight w:val="none"/>
        </w:rPr>
        <w:t>合同协议书</w:t>
      </w:r>
      <w:r>
        <w:rPr>
          <w:rFonts w:hint="eastAsia"/>
          <w:color w:val="auto"/>
          <w:sz w:val="28"/>
          <w:szCs w:val="28"/>
          <w:highlight w:val="none"/>
          <w:lang w:val="en-US" w:eastAsia="zh-CN"/>
        </w:rPr>
        <w:t>.................................................................3</w:t>
      </w:r>
      <w:r>
        <w:rPr>
          <w:rFonts w:hint="eastAsia"/>
          <w:color w:val="auto"/>
          <w:sz w:val="28"/>
          <w:szCs w:val="28"/>
          <w:highlight w:val="none"/>
        </w:rPr>
        <w:fldChar w:fldCharType="end"/>
      </w:r>
      <w:r>
        <w:rPr>
          <w:rFonts w:hint="eastAsia"/>
          <w:color w:val="auto"/>
          <w:sz w:val="28"/>
          <w:szCs w:val="28"/>
          <w:highlight w:val="none"/>
          <w:lang w:val="en-US" w:eastAsia="zh-CN"/>
        </w:rPr>
        <w:t>2</w:t>
      </w:r>
    </w:p>
    <w:p>
      <w:pPr>
        <w:pStyle w:val="17"/>
        <w:tabs>
          <w:tab w:val="right" w:leader="dot" w:pos="9040"/>
          <w:tab w:val="clear" w:pos="8296"/>
        </w:tabs>
        <w:spacing w:line="360" w:lineRule="auto"/>
        <w:ind w:left="440"/>
        <w:outlineLvl w:val="0"/>
        <w:rPr>
          <w:rFonts w:hint="eastAsia"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Style w:val="25"/>
          <w:rFonts w:hint="eastAsia"/>
          <w:color w:val="auto"/>
          <w:sz w:val="28"/>
          <w:szCs w:val="28"/>
          <w:highlight w:val="none"/>
        </w:rPr>
        <w:t>第五章</w:t>
      </w:r>
      <w:r>
        <w:rPr>
          <w:rStyle w:val="25"/>
          <w:color w:val="auto"/>
          <w:sz w:val="28"/>
          <w:szCs w:val="28"/>
          <w:highlight w:val="none"/>
        </w:rPr>
        <w:t xml:space="preserve"> </w:t>
      </w:r>
      <w:r>
        <w:rPr>
          <w:rStyle w:val="25"/>
          <w:rFonts w:hint="eastAsia"/>
          <w:color w:val="auto"/>
          <w:sz w:val="28"/>
          <w:szCs w:val="28"/>
          <w:highlight w:val="none"/>
        </w:rPr>
        <w:t>响应文件格式</w:t>
      </w:r>
      <w:r>
        <w:rPr>
          <w:rStyle w:val="25"/>
          <w:rFonts w:hint="eastAsia"/>
          <w:color w:val="auto"/>
          <w:sz w:val="28"/>
          <w:szCs w:val="28"/>
          <w:highlight w:val="none"/>
          <w:lang w:val="en-US" w:eastAsia="zh-CN"/>
        </w:rPr>
        <w:t>.............................................................................</w:t>
      </w:r>
      <w:r>
        <w:rPr>
          <w:rFonts w:hint="eastAsia"/>
          <w:color w:val="auto"/>
          <w:sz w:val="28"/>
          <w:szCs w:val="28"/>
          <w:highlight w:val="none"/>
          <w:lang w:val="en-US" w:eastAsia="zh-CN"/>
        </w:rPr>
        <w:t>3</w:t>
      </w:r>
      <w:r>
        <w:rPr>
          <w:rFonts w:hint="eastAsia"/>
          <w:color w:val="auto"/>
          <w:sz w:val="28"/>
          <w:szCs w:val="28"/>
          <w:highlight w:val="none"/>
        </w:rPr>
        <w:fldChar w:fldCharType="end"/>
      </w:r>
      <w:r>
        <w:rPr>
          <w:rFonts w:hint="eastAsia"/>
          <w:color w:val="auto"/>
          <w:sz w:val="28"/>
          <w:szCs w:val="28"/>
          <w:highlight w:val="none"/>
          <w:lang w:val="en-US" w:eastAsia="zh-CN"/>
        </w:rPr>
        <w:t>7</w:t>
      </w:r>
    </w:p>
    <w:p>
      <w:pPr>
        <w:ind w:firstLine="440" w:firstLineChars="200"/>
        <w:rPr>
          <w:rFonts w:hint="eastAsia"/>
          <w:color w:val="auto"/>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Fonts w:hint="eastAsia"/>
          <w:color w:val="auto"/>
          <w:sz w:val="24"/>
          <w:szCs w:val="24"/>
          <w:highlight w:val="none"/>
        </w:rPr>
        <w:fldChar w:fldCharType="begin"/>
      </w:r>
      <w:r>
        <w:rPr>
          <w:rFonts w:hint="eastAsia"/>
          <w:color w:val="auto"/>
          <w:sz w:val="24"/>
          <w:szCs w:val="24"/>
          <w:highlight w:val="none"/>
        </w:rPr>
        <w:instrText xml:space="preserve"> HYPERLINK \l "bookmark19" </w:instrText>
      </w:r>
      <w:r>
        <w:rPr>
          <w:rFonts w:hint="eastAsia"/>
          <w:color w:val="auto"/>
          <w:sz w:val="24"/>
          <w:szCs w:val="24"/>
          <w:highlight w:val="none"/>
        </w:rPr>
        <w:fldChar w:fldCharType="separate"/>
      </w:r>
      <w:r>
        <w:rPr>
          <w:rStyle w:val="25"/>
          <w:rFonts w:hint="eastAsia"/>
          <w:color w:val="auto"/>
          <w:sz w:val="28"/>
          <w:szCs w:val="28"/>
          <w:highlight w:val="none"/>
          <w:lang w:val="en-US" w:eastAsia="zh-CN" w:bidi="ar-SA"/>
        </w:rPr>
        <w:t>第六章 评定成交的标准</w:t>
      </w:r>
      <w:r>
        <w:rPr>
          <w:rFonts w:hint="eastAsia" w:hAnsi="Times New Roman"/>
          <w:color w:val="auto"/>
          <w:sz w:val="24"/>
          <w:szCs w:val="24"/>
          <w:highlight w:val="none"/>
          <w:lang w:val="en-US" w:eastAsia="zh-CN"/>
        </w:rPr>
        <w:fldChar w:fldCharType="end"/>
      </w:r>
      <w:r>
        <w:rPr>
          <w:rFonts w:hint="eastAsia" w:hAnsi="Times New Roman"/>
          <w:color w:val="auto"/>
          <w:sz w:val="28"/>
          <w:szCs w:val="28"/>
          <w:highlight w:val="none"/>
          <w:lang w:val="en-US" w:eastAsia="zh-CN"/>
        </w:rPr>
        <w:t>..........................................................59</w:t>
      </w:r>
      <w:r>
        <w:rPr>
          <w:color w:val="auto"/>
          <w:sz w:val="28"/>
          <w:szCs w:val="28"/>
          <w:highlight w:val="none"/>
        </w:rPr>
        <w:tab/>
      </w:r>
      <w:r>
        <w:rPr>
          <w:rFonts w:hint="eastAsia"/>
          <w:color w:val="auto"/>
          <w:sz w:val="28"/>
          <w:szCs w:val="28"/>
          <w:highlight w:val="none"/>
        </w:rPr>
        <w:fldChar w:fldCharType="end"/>
      </w:r>
    </w:p>
    <w:p>
      <w:pPr>
        <w:rPr>
          <w:rFonts w:hint="eastAsia"/>
          <w:color w:val="auto"/>
          <w:highlight w:val="none"/>
          <w:lang w:eastAsia="zh-CN"/>
        </w:rPr>
      </w:pPr>
    </w:p>
    <w:p>
      <w:pPr>
        <w:rPr>
          <w:rFonts w:ascii="宋体" w:hAnsi="宋体" w:eastAsia="宋体" w:cs="宋体"/>
          <w:color w:val="auto"/>
          <w:highlight w:val="none"/>
        </w:rPr>
      </w:pPr>
      <w:r>
        <w:rPr>
          <w:color w:val="auto"/>
          <w:sz w:val="28"/>
          <w:szCs w:val="28"/>
          <w:highlight w:val="none"/>
        </w:rPr>
        <w:fldChar w:fldCharType="end"/>
      </w:r>
    </w:p>
    <w:p>
      <w:pPr>
        <w:tabs>
          <w:tab w:val="left" w:pos="9214"/>
        </w:tabs>
        <w:ind w:right="423"/>
        <w:jc w:val="both"/>
        <w:rPr>
          <w:rFonts w:ascii="宋体" w:hAnsi="宋体" w:eastAsia="宋体" w:cs="宋体"/>
          <w:b/>
          <w:color w:val="auto"/>
          <w:sz w:val="28"/>
          <w:highlight w:val="none"/>
        </w:rPr>
      </w:pPr>
    </w:p>
    <w:p>
      <w:pPr>
        <w:tabs>
          <w:tab w:val="left" w:pos="9214"/>
        </w:tabs>
        <w:ind w:right="423"/>
        <w:jc w:val="center"/>
        <w:rPr>
          <w:rFonts w:hint="eastAsia" w:ascii="宋体" w:hAnsi="宋体" w:eastAsia="宋体" w:cs="宋体"/>
          <w:b/>
          <w:color w:val="auto"/>
          <w:sz w:val="28"/>
          <w:highlight w:val="none"/>
        </w:rPr>
        <w:sectPr>
          <w:pgSz w:w="11910" w:h="16840"/>
          <w:pgMar w:top="1520" w:right="1500" w:bottom="280" w:left="1680" w:header="720" w:footer="720" w:gutter="0"/>
          <w:cols w:space="720" w:num="1"/>
        </w:sectPr>
      </w:pPr>
    </w:p>
    <w:p>
      <w:pPr>
        <w:tabs>
          <w:tab w:val="left" w:pos="9214"/>
        </w:tabs>
        <w:ind w:right="423"/>
        <w:jc w:val="center"/>
        <w:rPr>
          <w:rFonts w:ascii="宋体" w:hAnsi="宋体" w:eastAsia="宋体" w:cs="宋体"/>
          <w:b/>
          <w:color w:val="auto"/>
          <w:sz w:val="28"/>
          <w:highlight w:val="none"/>
        </w:rPr>
      </w:pPr>
      <w:bookmarkStart w:id="1" w:name="OLE_LINK1"/>
      <w:r>
        <w:rPr>
          <w:rFonts w:hint="eastAsia" w:ascii="宋体" w:hAnsi="宋体" w:eastAsia="宋体" w:cs="宋体"/>
          <w:b/>
          <w:color w:val="auto"/>
          <w:sz w:val="28"/>
          <w:highlight w:val="none"/>
        </w:rPr>
        <w:t>第一章 竞争性谈判公告</w:t>
      </w:r>
    </w:p>
    <w:p>
      <w:pPr>
        <w:spacing w:after="80" w:line="460" w:lineRule="exact"/>
        <w:jc w:val="center"/>
        <w:rPr>
          <w:rFonts w:hint="eastAsia" w:ascii="宋体" w:hAnsi="宋体" w:eastAsia="宋体" w:cs="宋体"/>
          <w:b/>
          <w:color w:val="auto"/>
          <w:sz w:val="24"/>
          <w:szCs w:val="24"/>
          <w:highlight w:val="none"/>
          <w:lang w:eastAsia="zh-CN"/>
        </w:rPr>
      </w:pPr>
      <w:bookmarkStart w:id="2" w:name="OLE_LINK2"/>
      <w:r>
        <w:rPr>
          <w:rFonts w:hint="eastAsia" w:ascii="宋体" w:hAnsi="宋体" w:eastAsia="宋体" w:cs="宋体"/>
          <w:b/>
          <w:color w:val="auto"/>
          <w:sz w:val="24"/>
          <w:szCs w:val="24"/>
          <w:highlight w:val="none"/>
          <w:lang w:eastAsia="zh-CN"/>
        </w:rPr>
        <w:t>隆林各族自治县中医医院关于隆林各族自治县中医医院射频控温热凝器设备采购项目（LLXZYYY20250033）的竞争性谈判公告</w:t>
      </w:r>
    </w:p>
    <w:p>
      <w:pPr>
        <w:widowControl w:val="0"/>
        <w:pBdr>
          <w:top w:val="single" w:color="auto" w:sz="4" w:space="1"/>
          <w:left w:val="single" w:color="auto" w:sz="4" w:space="4"/>
          <w:bottom w:val="single" w:color="auto" w:sz="4" w:space="1"/>
          <w:right w:val="single" w:color="auto" w:sz="4" w:space="4"/>
        </w:pBdr>
        <w:tabs>
          <w:tab w:val="left" w:pos="474"/>
        </w:tabs>
        <w:adjustRightInd/>
        <w:snapToGrid/>
        <w:spacing w:after="80" w:line="44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adjustRightInd/>
        <w:snapToGrid/>
        <w:spacing w:after="80"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隆林各族自治县中医医院射频控温热凝器设备采购项目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val="en-US" w:eastAsia="zh-CN"/>
        </w:rPr>
        <w:t>公告下方自行获取</w:t>
      </w:r>
      <w:r>
        <w:rPr>
          <w:rFonts w:hint="eastAsia" w:ascii="宋体" w:hAnsi="宋体" w:eastAsia="宋体" w:cs="宋体"/>
          <w:color w:val="auto"/>
          <w:sz w:val="24"/>
          <w:szCs w:val="24"/>
          <w:highlight w:val="none"/>
        </w:rPr>
        <w:t>竞争性</w:t>
      </w:r>
      <w:r>
        <w:rPr>
          <w:rFonts w:hint="eastAsia" w:ascii="宋体" w:hAnsi="宋体" w:eastAsia="宋体" w:cs="宋体"/>
          <w:color w:val="auto"/>
          <w:spacing w:val="-8"/>
          <w:sz w:val="24"/>
          <w:szCs w:val="24"/>
          <w:highlight w:val="none"/>
        </w:rPr>
        <w:t>谈判文件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u w:val="none"/>
          <w:lang w:eastAsia="zh-CN"/>
        </w:rPr>
        <w:t>2025年</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none"/>
          <w:lang w:val="en-US" w:eastAsia="zh-CN"/>
        </w:rPr>
        <w:t>17</w:t>
      </w: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lang w:eastAsia="zh-CN"/>
        </w:rPr>
        <w:t>时</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eastAsia="zh-CN"/>
        </w:rPr>
        <w:t>分</w:t>
      </w:r>
      <w:r>
        <w:rPr>
          <w:rFonts w:hint="eastAsia" w:ascii="宋体" w:hAnsi="宋体" w:eastAsia="宋体" w:cs="宋体"/>
          <w:color w:val="auto"/>
          <w:sz w:val="24"/>
          <w:szCs w:val="24"/>
          <w:highlight w:val="none"/>
        </w:rPr>
        <w:t>（北京时间）前提交响应文件。</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隆林各族自治县中医医院射频控温热凝器设备采购项目</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LLXZYYY20250033</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采购方式：竞争性谈判 </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300000.00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rPr>
        <w:tab/>
      </w:r>
    </w:p>
    <w:p>
      <w:pPr>
        <w:widowControl w:val="0"/>
        <w:spacing w:after="8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en-US" w:eastAsia="zh-CN"/>
        </w:rPr>
        <w:t>300000.00</w:t>
      </w:r>
      <w:r>
        <w:rPr>
          <w:rFonts w:hint="eastAsia" w:ascii="宋体" w:hAnsi="宋体" w:eastAsia="宋体" w:cs="宋体"/>
          <w:color w:val="auto"/>
          <w:sz w:val="24"/>
          <w:szCs w:val="24"/>
          <w:highlight w:val="none"/>
        </w:rPr>
        <w:t>元</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采购需求：拟采购</w:t>
      </w:r>
      <w:r>
        <w:rPr>
          <w:rFonts w:hint="eastAsia" w:ascii="宋体" w:hAnsi="宋体" w:eastAsia="宋体" w:cs="宋体"/>
          <w:color w:val="auto"/>
          <w:sz w:val="24"/>
          <w:szCs w:val="24"/>
          <w:highlight w:val="none"/>
          <w:u w:val="none"/>
          <w:lang w:eastAsia="zh-CN"/>
        </w:rPr>
        <w:t>射频控温热凝器设备</w:t>
      </w:r>
      <w:r>
        <w:rPr>
          <w:rFonts w:hint="eastAsia" w:ascii="宋体" w:hAnsi="宋体" w:eastAsia="宋体" w:cs="宋体"/>
          <w:color w:val="auto"/>
          <w:sz w:val="24"/>
          <w:szCs w:val="24"/>
          <w:highlight w:val="none"/>
        </w:rPr>
        <w:t>。如需近一步了解，详见竞争性谈判采购文件。</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合同履行期限：合同签订之日起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0日内完成供货，调试，通过验收并交付使用。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本项目不接受联合体竞标。</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二、供应商资格：</w:t>
      </w:r>
    </w:p>
    <w:p>
      <w:pPr>
        <w:widowControl w:val="0"/>
        <w:spacing w:after="8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w:t>
      </w:r>
    </w:p>
    <w:p>
      <w:pPr>
        <w:pStyle w:val="16"/>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2、落实政府采购政策需满足的资格要求：非专门面向中小企业采购的项目</w:t>
      </w:r>
    </w:p>
    <w:p>
      <w:pPr>
        <w:pStyle w:val="16"/>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3、国内注册（指按国家有关规定要求注册的），合法运营在法律上、财务上独立的，具有生产或经营本次采购货物供应商；</w:t>
      </w:r>
    </w:p>
    <w:p>
      <w:pPr>
        <w:widowControl w:val="0"/>
        <w:spacing w:after="8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pPr>
        <w:widowControl w:val="0"/>
        <w:spacing w:after="80" w:line="24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于本公告下方自行获取。</w:t>
      </w:r>
    </w:p>
    <w:p>
      <w:pPr>
        <w:widowControl w:val="0"/>
        <w:spacing w:after="80" w:line="500" w:lineRule="exact"/>
        <w:rPr>
          <w:rFonts w:ascii="宋体" w:hAnsi="宋体" w:eastAsia="宋体" w:cs="宋体"/>
          <w:b/>
          <w:color w:val="auto"/>
          <w:sz w:val="24"/>
          <w:szCs w:val="24"/>
          <w:highlight w:val="none"/>
        </w:rPr>
      </w:pPr>
      <w:bookmarkStart w:id="3" w:name="_Toc35393632"/>
      <w:bookmarkStart w:id="4" w:name="_Toc35393801"/>
      <w:bookmarkStart w:id="5" w:name="_Toc28359092"/>
      <w:bookmarkStart w:id="6" w:name="_Toc28359015"/>
      <w:r>
        <w:rPr>
          <w:rFonts w:hint="eastAsia" w:ascii="宋体" w:hAnsi="宋体" w:eastAsia="宋体" w:cs="宋体"/>
          <w:b/>
          <w:bCs/>
          <w:color w:val="auto"/>
          <w:sz w:val="24"/>
          <w:szCs w:val="24"/>
          <w:highlight w:val="none"/>
        </w:rPr>
        <w:t>四、响应文件提交</w:t>
      </w:r>
      <w:bookmarkEnd w:id="3"/>
      <w:bookmarkEnd w:id="4"/>
      <w:bookmarkEnd w:id="5"/>
      <w:bookmarkEnd w:id="6"/>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none"/>
          <w:lang w:eastAsia="zh-CN"/>
        </w:rPr>
        <w:t>2025年</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none"/>
          <w:lang w:val="en-US" w:eastAsia="zh-CN"/>
        </w:rPr>
        <w:t>17</w:t>
      </w: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lang w:eastAsia="zh-CN"/>
        </w:rPr>
        <w:t>时</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eastAsia="zh-CN"/>
        </w:rPr>
        <w:t>分</w:t>
      </w:r>
      <w:r>
        <w:rPr>
          <w:rFonts w:hint="eastAsia" w:ascii="宋体" w:hAnsi="宋体" w:eastAsia="宋体" w:cs="宋体"/>
          <w:color w:val="auto"/>
          <w:sz w:val="24"/>
          <w:szCs w:val="24"/>
          <w:highlight w:val="none"/>
        </w:rPr>
        <w:t>（北京时间）</w:t>
      </w:r>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bookmarkStart w:id="7" w:name="_Toc28359007"/>
      <w:bookmarkStart w:id="8" w:name="_Toc35393625"/>
      <w:bookmarkStart w:id="9" w:name="_Toc35393794"/>
      <w:bookmarkStart w:id="10" w:name="_Toc28359084"/>
      <w:r>
        <w:rPr>
          <w:rFonts w:hint="eastAsia" w:ascii="宋体" w:hAnsi="宋体" w:eastAsia="宋体" w:cs="宋体"/>
          <w:color w:val="auto"/>
          <w:sz w:val="24"/>
          <w:szCs w:val="24"/>
          <w:highlight w:val="none"/>
          <w:lang w:val="en-US" w:eastAsia="zh-CN"/>
        </w:rPr>
        <w:t>隆林各族自治县中医医院会议室</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五、开启</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eastAsia="zh-CN"/>
        </w:rPr>
        <w:t>2025年</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lang w:eastAsia="zh-CN"/>
        </w:rPr>
        <w:t>月</w:t>
      </w:r>
      <w:r>
        <w:rPr>
          <w:rFonts w:hint="eastAsia" w:ascii="宋体" w:hAnsi="宋体" w:eastAsia="宋体" w:cs="宋体"/>
          <w:color w:val="auto"/>
          <w:sz w:val="24"/>
          <w:szCs w:val="24"/>
          <w:highlight w:val="none"/>
          <w:u w:val="none"/>
          <w:lang w:val="en-US" w:eastAsia="zh-CN"/>
        </w:rPr>
        <w:t>17</w:t>
      </w:r>
      <w:r>
        <w:rPr>
          <w:rFonts w:hint="eastAsia" w:ascii="宋体" w:hAnsi="宋体" w:eastAsia="宋体" w:cs="宋体"/>
          <w:color w:val="auto"/>
          <w:sz w:val="24"/>
          <w:szCs w:val="24"/>
          <w:highlight w:val="none"/>
          <w:u w:val="none"/>
          <w:lang w:eastAsia="zh-CN"/>
        </w:rPr>
        <w:t>日</w:t>
      </w: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lang w:eastAsia="zh-CN"/>
        </w:rPr>
        <w:t>时</w:t>
      </w:r>
      <w:r>
        <w:rPr>
          <w:rFonts w:hint="eastAsia" w:ascii="宋体" w:hAnsi="宋体" w:eastAsia="宋体" w:cs="宋体"/>
          <w:color w:val="auto"/>
          <w:sz w:val="24"/>
          <w:szCs w:val="24"/>
          <w:highlight w:val="none"/>
          <w:u w:val="none"/>
          <w:lang w:val="en-US" w:eastAsia="zh-CN"/>
        </w:rPr>
        <w:t>30</w:t>
      </w:r>
      <w:r>
        <w:rPr>
          <w:rFonts w:hint="eastAsia" w:ascii="宋体" w:hAnsi="宋体" w:eastAsia="宋体" w:cs="宋体"/>
          <w:color w:val="auto"/>
          <w:sz w:val="24"/>
          <w:szCs w:val="24"/>
          <w:highlight w:val="none"/>
          <w:u w:val="none"/>
          <w:lang w:eastAsia="zh-CN"/>
        </w:rPr>
        <w:t>分</w:t>
      </w:r>
      <w:r>
        <w:rPr>
          <w:rFonts w:hint="eastAsia" w:ascii="宋体" w:hAnsi="宋体" w:eastAsia="宋体" w:cs="宋体"/>
          <w:color w:val="auto"/>
          <w:sz w:val="24"/>
          <w:szCs w:val="24"/>
          <w:highlight w:val="none"/>
        </w:rPr>
        <w:t>（北京时间）</w:t>
      </w:r>
      <w:r>
        <w:rPr>
          <w:rFonts w:hint="eastAsia" w:ascii="宋体" w:hAnsi="宋体" w:eastAsia="宋体" w:cs="宋体"/>
          <w:color w:val="auto"/>
          <w:sz w:val="24"/>
          <w:szCs w:val="24"/>
          <w:highlight w:val="none"/>
          <w:lang w:eastAsia="zh-CN"/>
        </w:rPr>
        <w:t>后</w:t>
      </w:r>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隆林各族自治县中医医院会议室</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7"/>
      <w:bookmarkEnd w:id="8"/>
      <w:bookmarkEnd w:id="9"/>
      <w:bookmarkEnd w:id="10"/>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自公告发布之日起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个工作日。</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1.网上查询地址：https://llgzzzxzyyy.cn（隆林各族自治县中医医院官网）。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u w:val="none"/>
          <w:lang w:val="en-US" w:eastAsia="zh-CN"/>
        </w:rPr>
        <w:t>.竞标保证金：无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.本项目需要落实的政府采购政策：(1) 政府采购促进中小企业发展。(2) 政府采购支持采用本国产品的政策。(3) 强制采购节能产品、优先采购节能产品、环境标志产品。(4) 政府采购促进残疾人就业政策。(5) 政府采购支持监狱企业发展。</w:t>
      </w:r>
    </w:p>
    <w:p>
      <w:pPr>
        <w:widowControl w:val="0"/>
        <w:spacing w:after="80" w:line="50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八、凡对本次采购提出询问，请按以下方式联系：</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隆林各族自治县中医医院</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default" w:ascii="宋体" w:hAnsi="宋体" w:eastAsia="宋体" w:cs="宋体"/>
          <w:color w:val="auto"/>
          <w:sz w:val="24"/>
          <w:szCs w:val="24"/>
          <w:highlight w:val="none"/>
          <w:lang w:eastAsia="zh-CN"/>
        </w:rPr>
        <w:t>隆林各族自治县江那小区</w:t>
      </w:r>
      <w:r>
        <w:rPr>
          <w:rFonts w:hint="eastAsia" w:ascii="宋体" w:hAnsi="宋体" w:eastAsia="宋体" w:cs="宋体"/>
          <w:color w:val="auto"/>
          <w:sz w:val="24"/>
          <w:szCs w:val="24"/>
          <w:highlight w:val="none"/>
        </w:rPr>
        <w:t xml:space="preserve"> </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常工</w:t>
      </w:r>
      <w:r>
        <w:rPr>
          <w:rFonts w:hint="eastAsia" w:ascii="宋体" w:hAnsi="宋体" w:eastAsia="宋体" w:cs="宋体"/>
          <w:color w:val="auto"/>
          <w:sz w:val="24"/>
          <w:szCs w:val="24"/>
          <w:highlight w:val="none"/>
        </w:rPr>
        <w:t xml:space="preserve">  电话：</w:t>
      </w:r>
      <w:r>
        <w:rPr>
          <w:rFonts w:hint="eastAsia" w:ascii="宋体" w:hAnsi="宋体" w:eastAsia="宋体" w:cs="宋体"/>
          <w:sz w:val="24"/>
          <w:szCs w:val="24"/>
          <w:highlight w:val="none"/>
          <w:u w:val="none"/>
          <w:lang w:val="en-US" w:eastAsia="zh-CN"/>
        </w:rPr>
        <w:t>0776-5084153</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机构信息</w:t>
      </w:r>
    </w:p>
    <w:p>
      <w:pPr>
        <w:widowControl w:val="0"/>
        <w:spacing w:after="8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机构：</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szCs w:val="24"/>
          <w:highlight w:val="none"/>
          <w:lang w:val="en-US" w:eastAsia="zh-CN"/>
        </w:rPr>
        <w:t>纪检监察室</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谭主任</w:t>
      </w:r>
    </w:p>
    <w:p>
      <w:pPr>
        <w:widowControl w:val="0"/>
        <w:autoSpaceDE w:val="0"/>
        <w:autoSpaceDN w:val="0"/>
        <w:spacing w:after="80" w:line="500" w:lineRule="exact"/>
        <w:ind w:firstLine="480" w:firstLineChars="200"/>
        <w:rPr>
          <w:color w:val="auto"/>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0776-2505111</w:t>
      </w:r>
    </w:p>
    <w:p>
      <w:pPr>
        <w:widowControl w:val="0"/>
        <w:wordWrap w:val="0"/>
        <w:spacing w:after="80" w:line="500" w:lineRule="exact"/>
        <w:ind w:left="247" w:right="143" w:rightChars="65" w:hanging="247" w:hangingChars="103"/>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szCs w:val="24"/>
          <w:highlight w:val="none"/>
        </w:rPr>
        <w:t xml:space="preserve">           </w:t>
      </w:r>
    </w:p>
    <w:p>
      <w:pPr>
        <w:ind w:firstLine="5040" w:firstLineChars="2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日            </w:t>
      </w:r>
    </w:p>
    <w:p>
      <w:pPr>
        <w:spacing w:line="360" w:lineRule="auto"/>
        <w:ind w:firstLine="2570" w:firstLineChars="800"/>
        <w:rPr>
          <w:rFonts w:ascii="宋体" w:hAnsi="宋体" w:eastAsia="宋体" w:cs="宋体"/>
          <w:color w:val="auto"/>
          <w:sz w:val="24"/>
          <w:szCs w:val="24"/>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 xml:space="preserve">第二章  </w:t>
      </w:r>
      <w:bookmarkEnd w:id="2"/>
      <w:r>
        <w:rPr>
          <w:rFonts w:hint="eastAsia" w:ascii="宋体" w:hAnsi="宋体" w:eastAsia="宋体" w:cs="宋体"/>
          <w:b/>
          <w:color w:val="auto"/>
          <w:sz w:val="32"/>
          <w:szCs w:val="32"/>
          <w:highlight w:val="none"/>
        </w:rPr>
        <w:t>供应商须知及前附表</w:t>
      </w:r>
    </w:p>
    <w:tbl>
      <w:tblPr>
        <w:tblStyle w:val="21"/>
        <w:tblW w:w="9233" w:type="dxa"/>
        <w:tblInd w:w="108" w:type="dxa"/>
        <w:tblLayout w:type="fixed"/>
        <w:tblCellMar>
          <w:top w:w="0" w:type="dxa"/>
          <w:left w:w="108" w:type="dxa"/>
          <w:bottom w:w="0" w:type="dxa"/>
          <w:right w:w="108" w:type="dxa"/>
        </w:tblCellMar>
      </w:tblPr>
      <w:tblGrid>
        <w:gridCol w:w="758"/>
        <w:gridCol w:w="1030"/>
        <w:gridCol w:w="7445"/>
      </w:tblGrid>
      <w:tr>
        <w:tblPrEx>
          <w:tblCellMar>
            <w:top w:w="0" w:type="dxa"/>
            <w:left w:w="108" w:type="dxa"/>
            <w:bottom w:w="0" w:type="dxa"/>
            <w:right w:w="108" w:type="dxa"/>
          </w:tblCellMar>
        </w:tblPrEx>
        <w:trPr>
          <w:trHeight w:val="53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内容规格</w:t>
            </w:r>
          </w:p>
        </w:tc>
      </w:tr>
      <w:tr>
        <w:tblPrEx>
          <w:tblCellMar>
            <w:top w:w="0" w:type="dxa"/>
            <w:left w:w="108" w:type="dxa"/>
            <w:bottom w:w="0" w:type="dxa"/>
            <w:right w:w="108" w:type="dxa"/>
          </w:tblCellMar>
        </w:tblPrEx>
        <w:trPr>
          <w:trHeight w:val="3640"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cs="宋体"/>
                <w:b/>
                <w:color w:val="auto"/>
                <w:sz w:val="24"/>
                <w:highlight w:val="none"/>
              </w:rPr>
            </w:pPr>
            <w:r>
              <w:rPr>
                <w:rFonts w:hint="eastAsia" w:ascii="宋体" w:hAnsi="宋体" w:eastAsia="宋体" w:cs="宋体"/>
                <w:b/>
                <w:color w:val="auto"/>
                <w:sz w:val="24"/>
                <w:highlight w:val="none"/>
              </w:rPr>
              <w:t>项目综合说明：</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隆林各族自治县中医医院射频控温热凝器设备采购项目</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LLXZYYY20250033</w:t>
            </w:r>
          </w:p>
          <w:p>
            <w:pPr>
              <w:rPr>
                <w:rFonts w:ascii="宋体" w:hAnsi="宋体" w:eastAsia="宋体" w:cs="宋体"/>
                <w:color w:val="auto"/>
                <w:sz w:val="24"/>
                <w:highlight w:val="none"/>
              </w:rPr>
            </w:pPr>
            <w:r>
              <w:rPr>
                <w:rFonts w:hint="eastAsia" w:ascii="宋体" w:hAnsi="宋体" w:eastAsia="宋体" w:cs="宋体"/>
                <w:color w:val="auto"/>
                <w:sz w:val="24"/>
                <w:highlight w:val="none"/>
              </w:rPr>
              <w:t>项目地点：</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highlight w:val="none"/>
              </w:rPr>
              <w:t xml:space="preserve">      </w:t>
            </w:r>
          </w:p>
          <w:p>
            <w:pPr>
              <w:spacing w:before="240"/>
              <w:rPr>
                <w:rFonts w:ascii="宋体" w:hAnsi="宋体" w:eastAsia="宋体" w:cs="宋体"/>
                <w:color w:val="auto"/>
                <w:sz w:val="24"/>
                <w:highlight w:val="none"/>
              </w:rPr>
            </w:pPr>
            <w:r>
              <w:rPr>
                <w:rFonts w:hint="eastAsia" w:ascii="宋体" w:hAnsi="宋体" w:eastAsia="宋体" w:cs="宋体"/>
                <w:color w:val="auto"/>
                <w:sz w:val="24"/>
                <w:highlight w:val="none"/>
              </w:rPr>
              <w:t>交货期：合同签订之日起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0日内完成供货，调试，通过验收并交付使用。</w:t>
            </w:r>
          </w:p>
          <w:p>
            <w:pPr>
              <w:spacing w:before="240" w:line="360" w:lineRule="auto"/>
              <w:rPr>
                <w:rFonts w:ascii="宋体" w:hAnsi="宋体" w:eastAsia="宋体" w:cs="宋体"/>
                <w:color w:val="auto"/>
                <w:sz w:val="24"/>
                <w:szCs w:val="24"/>
                <w:highlight w:val="none"/>
              </w:rPr>
            </w:pPr>
            <w:r>
              <w:rPr>
                <w:rFonts w:hint="eastAsia" w:ascii="宋体" w:hAnsi="宋体" w:eastAsia="宋体" w:cs="宋体"/>
                <w:color w:val="auto"/>
                <w:spacing w:val="2"/>
                <w:sz w:val="24"/>
                <w:highlight w:val="none"/>
              </w:rPr>
              <w:t>项目基本概况</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拟采购</w:t>
            </w:r>
            <w:r>
              <w:rPr>
                <w:rFonts w:hint="eastAsia" w:ascii="宋体" w:hAnsi="宋体" w:eastAsia="宋体" w:cs="宋体"/>
                <w:color w:val="auto"/>
                <w:sz w:val="24"/>
                <w:szCs w:val="24"/>
                <w:highlight w:val="none"/>
                <w:u w:val="none"/>
                <w:lang w:eastAsia="zh-CN"/>
              </w:rPr>
              <w:t>射频控温热凝器设备</w:t>
            </w:r>
            <w:r>
              <w:rPr>
                <w:rFonts w:hint="eastAsia" w:ascii="宋体" w:hAnsi="宋体" w:eastAsia="宋体" w:cs="宋体"/>
                <w:color w:val="auto"/>
                <w:sz w:val="24"/>
                <w:highlight w:val="none"/>
              </w:rPr>
              <w:t>。如需近一步了解，详见竞争性谈判采购文件。</w:t>
            </w:r>
          </w:p>
        </w:tc>
      </w:tr>
      <w:tr>
        <w:tblPrEx>
          <w:tblCellMar>
            <w:top w:w="0" w:type="dxa"/>
            <w:left w:w="108" w:type="dxa"/>
            <w:bottom w:w="0" w:type="dxa"/>
            <w:right w:w="108" w:type="dxa"/>
          </w:tblCellMar>
        </w:tblPrEx>
        <w:trPr>
          <w:trHeight w:val="566"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资金来源：2025年中央补助广西医疗服务与保障能力提升资金。</w:t>
            </w:r>
          </w:p>
        </w:tc>
      </w:tr>
      <w:tr>
        <w:tblPrEx>
          <w:tblCellMar>
            <w:top w:w="0" w:type="dxa"/>
            <w:left w:w="108" w:type="dxa"/>
            <w:bottom w:w="0" w:type="dxa"/>
            <w:right w:w="108" w:type="dxa"/>
          </w:tblCellMar>
        </w:tblPrEx>
        <w:trPr>
          <w:trHeight w:val="5810"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供应商资格：</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t>4、单位负责人为同一人或者存在直接控股、管理关系的不同供应商，不得参加同一合同项下的政府采购活动。</w:t>
            </w:r>
          </w:p>
        </w:tc>
      </w:tr>
      <w:tr>
        <w:tblPrEx>
          <w:tblCellMar>
            <w:top w:w="0" w:type="dxa"/>
            <w:left w:w="108" w:type="dxa"/>
            <w:bottom w:w="0" w:type="dxa"/>
            <w:right w:w="108" w:type="dxa"/>
          </w:tblCellMar>
        </w:tblPrEx>
        <w:trPr>
          <w:trHeight w:val="69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现场勘查：</w:t>
            </w:r>
            <w:r>
              <w:rPr>
                <w:rFonts w:hint="eastAsia" w:ascii="宋体" w:hAnsi="宋体" w:eastAsia="宋体" w:cs="宋体"/>
                <w:color w:val="auto"/>
                <w:sz w:val="24"/>
                <w:highlight w:val="none"/>
              </w:rPr>
              <w:t>无。</w:t>
            </w:r>
          </w:p>
        </w:tc>
      </w:tr>
      <w:tr>
        <w:tblPrEx>
          <w:tblCellMar>
            <w:top w:w="0" w:type="dxa"/>
            <w:left w:w="108" w:type="dxa"/>
            <w:bottom w:w="0" w:type="dxa"/>
            <w:right w:w="108" w:type="dxa"/>
          </w:tblCellMar>
        </w:tblPrEx>
        <w:trPr>
          <w:trHeight w:val="77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竞标有效期为：竞标截止之日后60（日历天）。</w:t>
            </w:r>
          </w:p>
        </w:tc>
      </w:tr>
      <w:tr>
        <w:tblPrEx>
          <w:tblCellMar>
            <w:top w:w="0" w:type="dxa"/>
            <w:left w:w="108" w:type="dxa"/>
            <w:bottom w:w="0" w:type="dxa"/>
            <w:right w:w="108" w:type="dxa"/>
          </w:tblCellMar>
        </w:tblPrEx>
        <w:trPr>
          <w:trHeight w:val="70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440" w:lineRule="exact"/>
              <w:rPr>
                <w:rFonts w:ascii="宋体" w:hAnsi="宋体" w:eastAsia="宋体" w:cs="宋体"/>
                <w:color w:val="auto"/>
                <w:sz w:val="24"/>
                <w:szCs w:val="24"/>
                <w:highlight w:val="none"/>
              </w:rPr>
            </w:pPr>
            <w:r>
              <w:rPr>
                <w:rFonts w:hint="eastAsia" w:ascii="宋体" w:hAnsi="宋体" w:eastAsia="宋体" w:cs="宋体"/>
                <w:b/>
                <w:color w:val="auto"/>
                <w:sz w:val="24"/>
                <w:highlight w:val="none"/>
              </w:rPr>
              <w:t>竞标保证金：</w:t>
            </w:r>
            <w:r>
              <w:rPr>
                <w:rFonts w:hint="eastAsia" w:ascii="宋体" w:hAnsi="宋体" w:eastAsia="宋体" w:cs="宋体"/>
                <w:color w:val="auto"/>
                <w:sz w:val="24"/>
                <w:highlight w:val="none"/>
              </w:rPr>
              <w:t>无要求。</w:t>
            </w:r>
          </w:p>
          <w:p>
            <w:pPr>
              <w:ind w:firstLine="480" w:firstLineChars="200"/>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14.4</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响应文件份数</w:t>
            </w:r>
            <w:r>
              <w:rPr>
                <w:rFonts w:hint="eastAsia" w:ascii="宋体" w:hAnsi="宋体" w:eastAsia="宋体" w:cs="宋体"/>
                <w:color w:val="auto"/>
                <w:sz w:val="24"/>
                <w:highlight w:val="none"/>
              </w:rPr>
              <w:t>：正本壹份，副本</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份</w:t>
            </w:r>
          </w:p>
        </w:tc>
      </w:tr>
      <w:tr>
        <w:tblPrEx>
          <w:tblCellMar>
            <w:top w:w="0" w:type="dxa"/>
            <w:left w:w="108" w:type="dxa"/>
            <w:bottom w:w="0" w:type="dxa"/>
            <w:right w:w="108" w:type="dxa"/>
          </w:tblCellMar>
        </w:tblPrEx>
        <w:trPr>
          <w:trHeight w:val="7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竞标截止时间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详见竞争性谈判公告</w:t>
            </w:r>
          </w:p>
        </w:tc>
      </w:tr>
      <w:tr>
        <w:tblPrEx>
          <w:tblCellMar>
            <w:top w:w="0" w:type="dxa"/>
            <w:left w:w="108" w:type="dxa"/>
            <w:bottom w:w="0" w:type="dxa"/>
            <w:right w:w="108" w:type="dxa"/>
          </w:tblCellMar>
        </w:tblPrEx>
        <w:trPr>
          <w:trHeight w:val="116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16.2</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响应文件递交地点：</w:t>
            </w:r>
            <w:r>
              <w:rPr>
                <w:rFonts w:hint="eastAsia" w:ascii="宋体" w:hAnsi="宋体" w:eastAsia="宋体" w:cs="宋体"/>
                <w:color w:val="auto"/>
                <w:sz w:val="24"/>
                <w:szCs w:val="24"/>
                <w:highlight w:val="none"/>
                <w:u w:val="single"/>
                <w:lang w:eastAsia="zh-CN"/>
              </w:rPr>
              <w:t>隆林各族自治县中医医院</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江那小区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p>
        </w:tc>
      </w:tr>
      <w:tr>
        <w:tblPrEx>
          <w:tblCellMar>
            <w:top w:w="0" w:type="dxa"/>
            <w:left w:w="108" w:type="dxa"/>
            <w:bottom w:w="0" w:type="dxa"/>
            <w:right w:w="108" w:type="dxa"/>
          </w:tblCellMar>
        </w:tblPrEx>
        <w:trPr>
          <w:trHeight w:val="1291"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谈判时间：</w:t>
            </w:r>
            <w:r>
              <w:rPr>
                <w:rFonts w:hint="eastAsia" w:ascii="宋体" w:hAnsi="宋体" w:eastAsia="宋体" w:cs="宋体"/>
                <w:color w:val="auto"/>
                <w:sz w:val="24"/>
                <w:highlight w:val="none"/>
              </w:rPr>
              <w:t>截标后，谈判地点：</w:t>
            </w:r>
            <w:r>
              <w:rPr>
                <w:rFonts w:hint="eastAsia" w:ascii="宋体" w:hAnsi="宋体" w:eastAsia="宋体" w:cs="宋体"/>
                <w:color w:val="auto"/>
                <w:sz w:val="24"/>
                <w:szCs w:val="24"/>
                <w:highlight w:val="none"/>
                <w:u w:val="single"/>
                <w:lang w:eastAsia="zh-CN"/>
              </w:rPr>
              <w:t>隆林各族自治县中医医院</w:t>
            </w:r>
            <w:r>
              <w:rPr>
                <w:rFonts w:hint="eastAsia" w:ascii="宋体" w:hAnsi="宋体" w:eastAsia="宋体" w:cs="宋体"/>
                <w:color w:val="auto"/>
                <w:sz w:val="24"/>
                <w:szCs w:val="24"/>
                <w:highlight w:val="none"/>
                <w:u w:val="single"/>
                <w:lang w:val="en-US" w:eastAsia="zh-CN"/>
              </w:rPr>
              <w:t>会议室</w:t>
            </w:r>
            <w:r>
              <w:rPr>
                <w:rFonts w:hint="eastAsia" w:ascii="宋体" w:hAnsi="宋体" w:eastAsia="宋体" w:cs="宋体"/>
                <w:color w:val="auto"/>
                <w:sz w:val="24"/>
                <w:szCs w:val="24"/>
                <w:highlight w:val="none"/>
                <w:u w:val="single"/>
              </w:rPr>
              <w:t>。</w:t>
            </w:r>
          </w:p>
        </w:tc>
      </w:tr>
      <w:tr>
        <w:tblPrEx>
          <w:tblCellMar>
            <w:top w:w="0" w:type="dxa"/>
            <w:left w:w="108" w:type="dxa"/>
            <w:bottom w:w="0" w:type="dxa"/>
            <w:right w:w="108" w:type="dxa"/>
          </w:tblCellMar>
        </w:tblPrEx>
        <w:trPr>
          <w:trHeight w:val="146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评</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办法</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通过资格性、符合性审查后，在质量和服务均能满足采购文件实质性响应要求的前提下，按最终评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报价</w:t>
            </w:r>
            <w:r>
              <w:rPr>
                <w:rFonts w:hint="eastAsia" w:ascii="宋体" w:hAnsi="宋体" w:eastAsia="宋体" w:cs="宋体"/>
                <w:b/>
                <w:bCs/>
                <w:color w:val="auto"/>
                <w:sz w:val="24"/>
                <w:szCs w:val="24"/>
                <w:highlight w:val="none"/>
              </w:rPr>
              <w:t>由低到高排列成交候选人顺序</w:t>
            </w:r>
            <w:r>
              <w:rPr>
                <w:rFonts w:hint="eastAsia" w:ascii="宋体" w:hAnsi="宋体" w:eastAsia="宋体" w:cs="宋体"/>
                <w:color w:val="auto"/>
                <w:sz w:val="24"/>
                <w:szCs w:val="24"/>
                <w:highlight w:val="none"/>
              </w:rPr>
              <w:t>，并依照次序确定成交人。</w:t>
            </w:r>
          </w:p>
        </w:tc>
      </w:tr>
      <w:tr>
        <w:tblPrEx>
          <w:tblCellMar>
            <w:top w:w="0" w:type="dxa"/>
            <w:left w:w="108" w:type="dxa"/>
            <w:bottom w:w="0" w:type="dxa"/>
            <w:right w:w="108" w:type="dxa"/>
          </w:tblCellMar>
        </w:tblPrEx>
        <w:trPr>
          <w:trHeight w:val="1983"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29.1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ind w:firstLine="482" w:firstLineChars="200"/>
              <w:rPr>
                <w:rFonts w:hint="eastAsia" w:ascii="宋体" w:hAnsi="宋体" w:eastAsia="宋体" w:cs="宋体"/>
                <w:b/>
                <w:color w:val="auto"/>
                <w:sz w:val="24"/>
                <w:highlight w:val="none"/>
              </w:rPr>
            </w:pPr>
          </w:p>
          <w:p>
            <w:pPr>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成交代理服务费：</w:t>
            </w:r>
            <w:r>
              <w:rPr>
                <w:rFonts w:hint="eastAsia" w:ascii="宋体" w:hAnsi="宋体" w:eastAsia="宋体" w:cs="宋体"/>
                <w:b/>
                <w:color w:val="auto"/>
                <w:sz w:val="24"/>
                <w:highlight w:val="none"/>
                <w:lang w:val="en-US" w:eastAsia="zh-CN"/>
              </w:rPr>
              <w:t>无</w:t>
            </w:r>
            <w:r>
              <w:rPr>
                <w:rFonts w:hint="eastAsia" w:ascii="宋体" w:hAnsi="宋体" w:eastAsia="宋体" w:cs="宋体"/>
                <w:color w:val="auto"/>
                <w:sz w:val="24"/>
                <w:szCs w:val="24"/>
                <w:highlight w:val="none"/>
              </w:rPr>
              <w:t>。</w:t>
            </w:r>
          </w:p>
          <w:p>
            <w:pPr>
              <w:pStyle w:val="2"/>
              <w:ind w:left="0" w:leftChars="0" w:firstLine="0" w:firstLineChars="0"/>
              <w:rPr>
                <w:rFonts w:ascii="宋体" w:hAnsi="宋体" w:eastAsia="宋体" w:cs="宋体"/>
                <w:color w:val="auto"/>
                <w:highlight w:val="none"/>
              </w:rPr>
            </w:pPr>
          </w:p>
        </w:tc>
      </w:tr>
    </w:tbl>
    <w:p>
      <w:pPr>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highlight w:val="none"/>
        </w:rPr>
        <w:t>一、总则</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l. 项目综合说明</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 项目的说明见竞标须知前附表（以下称“前附表”）第1项所述。</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2. 资金来源及落实情况</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2.1 本项目的资金来源为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单位资金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，资金已落实，并将资金用于本项目合同项下的合理支付。</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 供应商资质与合格条件的要求</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4. 语言文字及计量单位</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除专用术语外，与采购有关的语言均使用中文。必要时专用术语应附有中文注释。所有计量均采用中华人民共和国法定计量单位。</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 竞标费用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5.1 供应商准备和参加竞标活动所发生的一切费用自理，不管竞标结果如何，采购人及采购代理机构对上述费用不负任何责任。</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6. 现场勘查 </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6.1 建议供应商自行对项目现场和其周围环境进行现场勘查，以获取有关编制响应文件和签署实施项目合同所需的各种资料。供应商应承担现场勘查的责任和风险。勘查现场的费用由供应商自己承担。</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二、竞争性谈判文件</w:t>
      </w:r>
    </w:p>
    <w:p>
      <w:pPr>
        <w:spacing w:line="44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7. 竞争性谈判文件的组成</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7.1 竞争性谈判文件包括下列内容：</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第一章 竞争性谈判公告</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第二章 竞标须知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第三章 货物需求一览表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第四章  合同协议书</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7.2 除本竞标须知第7.1款所述的竞争性谈判文件内容外，采购人在采购期间、符合法定时间发出的答疑、澄清、修改或补充内容，均是竞争性谈判文件的组成部分，对采购人和供应商起约束作用根据本章第8条、第9条对竞争性谈判文件所作的澄清、修改，构成竞争性谈判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7.3 供应商应认真审阅竞争性谈判文件。如果供应商编制的响应文件不符合竞争性谈判文件的要求，责任由供应商自负。实质上不响应竞争性谈判文件要求的响应文件将被采购人拒绝。</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 竞争性谈判文件的澄清</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8.1 供应商应仔细阅读和检查竞争性谈判文件的全部内容。如发现缺页或附件不全，应及时向采购人或采购代理机构提出，以便补齐。如有疑问，应于购买竞争性谈判文件时间截止后3天内，以书面形式（包括书面文字、传真、电报等，下同），要求采购人或采购代理机构予以澄清。</w:t>
      </w:r>
    </w:p>
    <w:p>
      <w:pPr>
        <w:spacing w:after="0"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竞争性谈判文件的澄清将在竞标截止时间3个工作日前以书面形式发给所有购买竞争性谈判文件的供应商，采购代理机构以书面形式通知所有谈判文件收受人。该澄清的内容为谈判文件的组成部分。但不指明澄清问题的来源。如果澄清发出的时间距竞标截止时间不足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8.3 供应商在收到澄清后，应在收到的同时以书面形式通知采购人或采购代理机构，确认己收到该澄清。</w:t>
      </w:r>
    </w:p>
    <w:p>
      <w:pPr>
        <w:spacing w:after="0" w:line="48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 竞争性谈判文件的修改</w:t>
      </w:r>
    </w:p>
    <w:p>
      <w:pPr>
        <w:pStyle w:val="12"/>
        <w:spacing w:line="480" w:lineRule="exact"/>
        <w:ind w:firstLine="420"/>
        <w:rPr>
          <w:rFonts w:hAnsi="宋体" w:cs="宋体"/>
          <w:color w:val="auto"/>
          <w:sz w:val="24"/>
          <w:szCs w:val="24"/>
          <w:highlight w:val="none"/>
        </w:rPr>
      </w:pPr>
      <w:r>
        <w:rPr>
          <w:rFonts w:hint="eastAsia" w:hAnsi="宋体" w:cs="宋体"/>
          <w:color w:val="auto"/>
          <w:sz w:val="24"/>
          <w:szCs w:val="24"/>
          <w:highlight w:val="none"/>
        </w:rPr>
        <w:t>9.1 在竞标截止时间3个工作日前，采购人可以书面形式修改竞争性谈判文件，采购代理机构对已发出的谈判文件进行必要修改的，在谈判文件要求提交响应文件截止时间3个工作日前，以书面形式通知所有谈判文件收受人。该修改的内容为谈判文件的组成部分。并通知所有已购买竞争性谈判文件的供应商。如果修改竞争性谈判文件的时间距竞标截止时间不足 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9.2 供应商在收到修改内容后，应在收到的同时以书面形式通知采购人或采购代理机构，确认己收到该修改。</w:t>
      </w:r>
    </w:p>
    <w:p>
      <w:pPr>
        <w:spacing w:line="38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三、响应文件</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10. 响应文件的组成</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响应文件应分为报价文件、资格商务技术文件两个部分组成。供应商应仔细阅读采购文件的所有内容，按采购文件的要求，详细编制响应文件。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（1）报价文件：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2）竞标报价表；（必须提供，否则响应文件按无效处理）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3）供应商认为必要提供的声明及文件资料。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（2）资格商务技术文件：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2）法定代表人（负责人）授权委托书和委托代理人身份证复印件（委托代理时必须提供，格式见第六章），法定代表人（负责人）参加谈判时，提供法定代表人（负责人）身份证明书和身份证复印件；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3）供应商有效的加载社会统一代码的营业执照或事业单位法人证书等主体资格证明副本复印件； （必须提供，否则响应文件按无效处理）</w:t>
      </w:r>
    </w:p>
    <w:p>
      <w:pPr>
        <w:spacing w:after="0"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4）供应商依法缴纳税收的相关材料（</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近半年内任意3个月的依法缴纳税收的凭据复印件；依法免税的，必须提供相应文件证明其依法免税。从成立之日起到响应文件提交截止时间止不足要求月数的，只需提供从成立之日起的依法缴纳税收相应证明文件）；（必须提供，否则响应文件按无效处理）</w:t>
      </w:r>
    </w:p>
    <w:p>
      <w:pPr>
        <w:spacing w:after="0" w:line="48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供应商依法缴纳社会保障资金的相关材料[提供近半年内任意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必须提供，否则作无效响应处理</w:t>
      </w:r>
      <w:r>
        <w:rPr>
          <w:rFonts w:hint="eastAsia" w:ascii="宋体" w:hAnsi="宋体" w:eastAsia="宋体" w:cs="宋体"/>
          <w:color w:val="auto"/>
          <w:sz w:val="24"/>
          <w:highlight w:val="none"/>
          <w:lang w:eastAsia="zh-CN"/>
        </w:rPr>
        <w:t>）</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财务状况报告复印件（供应商是法人的，或可提供财务报告或其基本开户银行出具的资信证明；供应商是其他组织和自然人的，提供财务报告或者银行出具的资信证明；对于从取得营业执照时间起到提交响应文件截止时间为止不足要求年数的，只需提交取得营业执照之日起至所要求最近月份的财务报告）；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）供应商参加政府采购活动前 3 年内在经营活动中没有重大违法记录的书面声明；（必须提供，否则响应文件按无效处理）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）供应商直接控股、管理关系信息表（必须提供，否则响应文件按无效处理）；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）无串通行为承诺函（必须提供，否则响应文件按无效处理）；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）商务要求偏离表（必须提供，否则响应文件按无效处理）；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）货物配置清单（均不含报价）；（必须提供，否则响应文件按无效处理）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）技术要求偏离表；（必须提供，否则响应文件按无效处理）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）售后服务承诺书（内容可以是提供的切实可行的售后服务和优惠承诺）；（必须提供，否则响应文件按无效处理）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）供应商认为需要提供的其他有关资料。（如有请提供）</w:t>
      </w:r>
    </w:p>
    <w:p>
      <w:pPr>
        <w:spacing w:after="0" w:line="480" w:lineRule="exact"/>
        <w:ind w:firstLine="480"/>
        <w:rPr>
          <w:rFonts w:ascii="宋体" w:hAnsi="宋体" w:eastAsia="宋体" w:cs="宋体"/>
          <w:color w:val="auto"/>
          <w:sz w:val="24"/>
          <w:highlight w:val="none"/>
        </w:rPr>
      </w:pPr>
      <w:r>
        <w:rPr>
          <w:rFonts w:hint="eastAsia" w:ascii="宋体" w:hAnsi="宋体" w:cs="宋体"/>
          <w:b/>
          <w:color w:val="auto"/>
          <w:szCs w:val="21"/>
          <w:highlight w:val="none"/>
        </w:rPr>
        <w:t>注：以上标明“必须提供”材料复印件的，必须加盖供应商公章，否则响应文件按无效处理。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 供应商应按照响应文件格式和顺序，自行编制响应文件，响应文件应包含本须知第10.1条中规定的内容，但表格可以按同样格式扩展。</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11. 竞标报价</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11.1响应文件中的报价均采用人民币表示。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b/>
          <w:color w:val="auto"/>
          <w:sz w:val="24"/>
          <w:highlight w:val="none"/>
        </w:rPr>
        <w:t>2竞标报价为供应商在响应文件中提出的各项支付金额的总和（包含</w:t>
      </w:r>
      <w:r>
        <w:rPr>
          <w:rFonts w:hint="eastAsia" w:ascii="宋体" w:hAnsi="宋体" w:eastAsia="宋体" w:cs="宋体"/>
          <w:b/>
          <w:color w:val="auto"/>
          <w:szCs w:val="21"/>
          <w:highlight w:val="none"/>
        </w:rPr>
        <w:t>税金及其它所有成本费用的总和</w:t>
      </w:r>
      <w:r>
        <w:rPr>
          <w:rFonts w:hint="eastAsia" w:ascii="宋体" w:hAnsi="宋体" w:eastAsia="宋体" w:cs="宋体"/>
          <w:b/>
          <w:color w:val="auto"/>
          <w:sz w:val="24"/>
          <w:highlight w:val="none"/>
        </w:rPr>
        <w:t>）；</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11.3 供应商的竞标报价，应是完成前附表第1项所列的范围及服务期的全部，不得以任何理由予以重复，作为供应商计算竞标报价的依据；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11.4供应商可根据市场行情及自身情况，自行决定其竞标报价。</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12. 竞标有效期</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12.1 在前附表第5项规定的竞标有效期内，供应商不得要求撤销或修改其响应文件。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12.2 出现特殊情况需要延长竞标有效期的，采购人以书面形式通知所有供应商延长竞标有效期。供应商同意延长的，应相应延长其竞标保证金的有效期，但不得要求或被允许修改或撤销其响应文件；供应商拒绝延长的，其报价失效，但供应商有权收回其竞标保证金。</w:t>
      </w:r>
    </w:p>
    <w:p>
      <w:pPr>
        <w:spacing w:line="440" w:lineRule="exact"/>
        <w:rPr>
          <w:rFonts w:ascii="宋体" w:hAnsi="宋体" w:eastAsia="宋体" w:cs="宋体"/>
          <w:color w:val="auto"/>
          <w:sz w:val="24"/>
          <w:szCs w:val="22"/>
          <w:highlight w:val="none"/>
        </w:rPr>
      </w:pPr>
      <w:r>
        <w:rPr>
          <w:rFonts w:hint="eastAsia" w:ascii="宋体" w:hAnsi="宋体" w:eastAsia="宋体" w:cs="宋体"/>
          <w:b/>
          <w:color w:val="auto"/>
          <w:sz w:val="24"/>
          <w:highlight w:val="none"/>
        </w:rPr>
        <w:t>13. 竞标保证金</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szCs w:val="22"/>
          <w:highlight w:val="none"/>
          <w:lang w:val="en-US" w:eastAsia="zh-CN"/>
        </w:rPr>
        <w:t>无</w:t>
      </w:r>
      <w:r>
        <w:rPr>
          <w:rFonts w:hint="eastAsia" w:ascii="宋体" w:hAnsi="宋体" w:eastAsia="宋体" w:cs="宋体"/>
          <w:color w:val="auto"/>
          <w:sz w:val="24"/>
          <w:szCs w:val="22"/>
          <w:highlight w:val="none"/>
        </w:rPr>
        <w:t xml:space="preserve">。   </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14. 响应文件编制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14.1 响应文件应按第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章“响应文件格式”进行编写，如有必要，可以增加附页，作为响应文件的组成部分。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14.2 响应文件应当对竞争性谈判文件有关服务期、竞标有效期、质量要求、技术标准、采购范围等实质性内容作出响应。</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14.3 响应文件应使用不能擦去的墨水书写或打印并加盖单位章，竞争性谈判文件中要求供应商的法定代表人或其委托代理人签字的项目须按要求签字确认。委托代理人签字的，响应文件应附法定代表人签字署名的授权委托书。响应文件应无涂改、行间插字或删除，如果出现上述情况，改动之处应加盖单位章或由供应商的法定代表人或其授权的代理人签字确认。</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14.4 响应文件正本一份，副本份数见前附表第7项要求。正本和副本的封面上应清楚地标记“正本”或“副本”的字样。当副本和正本不一致时，以正本为准。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14.5响应文件的正本与副本应分别装订成册，并编制目录和页码，要求装订标准规范。</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4"/>
          <w:highlight w:val="none"/>
        </w:rPr>
      </w:pPr>
      <w:r>
        <w:rPr>
          <w:rFonts w:hint="eastAsia" w:ascii="宋体" w:hAnsi="宋体" w:eastAsia="宋体" w:cs="宋体"/>
          <w:b/>
          <w:color w:val="auto"/>
          <w:sz w:val="28"/>
          <w:highlight w:val="none"/>
        </w:rPr>
        <w:t>四、竞标</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15. 响应文件的密封和标识</w:t>
      </w:r>
    </w:p>
    <w:p>
      <w:pPr>
        <w:autoSpaceDE w:val="0"/>
        <w:autoSpaceDN w:val="0"/>
        <w:spacing w:line="360" w:lineRule="exact"/>
        <w:ind w:firstLine="488"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 响应文件</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份）应密封在一个响应文件袋密封袋中，并在包装封口处盖密封章或供应商公章。</w:t>
      </w:r>
    </w:p>
    <w:p>
      <w:pPr>
        <w:autoSpaceDE w:val="0"/>
        <w:autoSpaceDN w:val="0"/>
        <w:spacing w:line="36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15.2在响应文件密封袋上应写明：</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项目名称：</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项目编号：</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注：在开标时间以前不得开封。</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15.3 未按本章第15.1条或15.2条要求密封和加写标记，作无效竞标处理。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16. 响应文件的递交</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16.1 供应商应在前附表第8项规定的竞标截止时间前递交响应文件。凡逾期送达的响应文件代理机构将不予接收。</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16.2 供应商按前附表第9项规定的地点递交响应文件，并由采购人或采购代理机构签收</w:t>
      </w:r>
      <w:r>
        <w:rPr>
          <w:rFonts w:hint="eastAsia" w:ascii="宋体" w:hAnsi="宋体" w:eastAsia="宋体" w:cs="宋体"/>
          <w:bCs/>
          <w:color w:val="auto"/>
          <w:spacing w:val="2"/>
          <w:sz w:val="24"/>
          <w:highlight w:val="none"/>
        </w:rPr>
        <w:t>。</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16.3 除竞争性谈判文件另有规定外，供应商所递交的响应文件不予退还。</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16.4 未送达指定地点的响应文件，作无效竞标处理。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17. 响应文件的修改和撤回</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17.1 在前附表第8项规定的竞标截止时间前，供应商可以修改或撤回已递交的响应文件，但应以书面形式通知采购代理机构。</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17.2 供应商修改或撤回已递交响应文件的书面通知应按照本章第15.3项的要求签字或盖章。采购代理机构收到书面通知后，向供应商出具签收凭证。</w:t>
      </w:r>
    </w:p>
    <w:p>
      <w:pPr>
        <w:spacing w:line="440" w:lineRule="exact"/>
        <w:ind w:firstLine="488"/>
        <w:rPr>
          <w:rFonts w:ascii="宋体" w:hAnsi="宋体" w:eastAsia="宋体" w:cs="宋体"/>
          <w:color w:val="auto"/>
          <w:sz w:val="24"/>
          <w:highlight w:val="none"/>
        </w:rPr>
      </w:pPr>
      <w:r>
        <w:rPr>
          <w:rFonts w:hint="eastAsia" w:ascii="宋体" w:hAnsi="宋体" w:eastAsia="宋体" w:cs="宋体"/>
          <w:color w:val="auto"/>
          <w:spacing w:val="2"/>
          <w:sz w:val="24"/>
          <w:highlight w:val="none"/>
        </w:rPr>
        <w:t>17.3 修改的内容为响应文件的组成部分。</w:t>
      </w:r>
    </w:p>
    <w:p>
      <w:pPr>
        <w:rPr>
          <w:rFonts w:ascii="宋体" w:hAnsi="宋体" w:eastAsia="宋体" w:cs="宋体"/>
          <w:color w:val="auto"/>
          <w:highlight w:val="none"/>
        </w:rPr>
      </w:pPr>
    </w:p>
    <w:p>
      <w:pPr>
        <w:spacing w:line="380" w:lineRule="exact"/>
        <w:ind w:firstLine="478" w:firstLineChars="195"/>
        <w:jc w:val="center"/>
        <w:outlineLvl w:val="2"/>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五、开标</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18、开标</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18.l</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将在前附表第10项规定的时间和地点组织谈判，参加谈判的法定代表人或其授权委托人必须持有效证件</w:t>
      </w:r>
      <w:r>
        <w:rPr>
          <w:rFonts w:hint="eastAsia" w:ascii="宋体" w:hAnsi="宋体" w:eastAsia="宋体" w:cs="宋体"/>
          <w:b/>
          <w:bCs/>
          <w:color w:val="auto"/>
          <w:sz w:val="24"/>
          <w:szCs w:val="24"/>
          <w:highlight w:val="none"/>
        </w:rPr>
        <w:t>[①法人身份证原件或授权委托书和委托代理人身份证原件；②营业执照复印件]</w:t>
      </w:r>
      <w:r>
        <w:rPr>
          <w:rFonts w:hint="eastAsia" w:ascii="宋体" w:hAnsi="宋体" w:eastAsia="宋体" w:cs="宋体"/>
          <w:color w:val="auto"/>
          <w:sz w:val="24"/>
          <w:szCs w:val="24"/>
          <w:highlight w:val="none"/>
        </w:rPr>
        <w:t>依时到达指定地点等候当面谈判 (上述材料未注明原件的为复印件，所有复印件必须加盖竞标单位公章.)依时到达现场等候参加谈判，并自觉接受核验上述证件。以上要求出示</w:t>
      </w:r>
      <w:r>
        <w:rPr>
          <w:rFonts w:hint="eastAsia" w:ascii="宋体" w:hAnsi="宋体" w:eastAsia="宋体" w:cs="宋体"/>
          <w:color w:val="auto"/>
          <w:spacing w:val="2"/>
          <w:sz w:val="24"/>
          <w:szCs w:val="24"/>
          <w:highlight w:val="none"/>
        </w:rPr>
        <w:t>证明材料如缺项或无效的</w:t>
      </w:r>
      <w:r>
        <w:rPr>
          <w:rFonts w:hint="eastAsia" w:ascii="宋体" w:hAnsi="宋体" w:eastAsia="宋体" w:cs="宋体"/>
          <w:color w:val="auto"/>
          <w:sz w:val="24"/>
          <w:szCs w:val="24"/>
          <w:highlight w:val="none"/>
        </w:rPr>
        <w:t>将视为竞标无效</w:t>
      </w:r>
      <w:r>
        <w:rPr>
          <w:rFonts w:hint="eastAsia" w:ascii="宋体" w:hAnsi="宋体" w:eastAsia="宋体" w:cs="宋体"/>
          <w:color w:val="auto"/>
          <w:spacing w:val="2"/>
          <w:sz w:val="24"/>
          <w:szCs w:val="24"/>
          <w:highlight w:val="none"/>
        </w:rPr>
        <w:t>，该供应商的响应文件当场退回。</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18.2开标会议由采购代理机构组织并主持，在</w:t>
      </w:r>
      <w:r>
        <w:rPr>
          <w:rFonts w:hint="eastAsia" w:ascii="宋体" w:hAnsi="宋体" w:eastAsia="宋体" w:cs="宋体"/>
          <w:color w:val="auto"/>
          <w:spacing w:val="2"/>
          <w:sz w:val="24"/>
          <w:szCs w:val="24"/>
          <w:highlight w:val="none"/>
          <w:u w:val="single"/>
        </w:rPr>
        <w:t>相关监督部门</w:t>
      </w:r>
      <w:r>
        <w:rPr>
          <w:rFonts w:hint="eastAsia" w:ascii="宋体" w:hAnsi="宋体" w:eastAsia="宋体" w:cs="宋体"/>
          <w:color w:val="auto"/>
          <w:spacing w:val="2"/>
          <w:sz w:val="24"/>
          <w:szCs w:val="24"/>
          <w:highlight w:val="none"/>
        </w:rPr>
        <w:t>监督下，对响应文件进行检查，确认它们是否完整，是否按要求提交了竞标保证金，文件签署是否正确，以及是否按本须知编制。但按规定提交了合格撤回通知的响应文件不予开封。</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18.3谈判会议程序</w:t>
      </w:r>
    </w:p>
    <w:p>
      <w:pPr>
        <w:spacing w:line="380" w:lineRule="exact"/>
        <w:ind w:firstLine="468" w:firstLine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18.3.1　</w:t>
      </w:r>
      <w:r>
        <w:rPr>
          <w:rFonts w:hint="eastAsia" w:ascii="宋体" w:hAnsi="宋体" w:eastAsia="宋体" w:cs="宋体"/>
          <w:color w:val="auto"/>
          <w:spacing w:val="2"/>
          <w:sz w:val="24"/>
          <w:szCs w:val="24"/>
          <w:highlight w:val="none"/>
        </w:rPr>
        <w:t>⑴ 采购代理机构主持人宣布会议开始；</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⑵介绍参加谈判会议人员名单；</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⑶</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和监标人员一同检验参加竞标会的各竞标单位法定代表人或其委托代理人（按18.1检查）的资格证件，对无资格证件、证件不齐</w:t>
      </w:r>
      <w:r>
        <w:rPr>
          <w:rFonts w:hint="eastAsia" w:ascii="宋体" w:hAnsi="宋体" w:eastAsia="宋体" w:cs="宋体"/>
          <w:color w:val="auto"/>
          <w:sz w:val="24"/>
          <w:szCs w:val="24"/>
          <w:highlight w:val="none"/>
        </w:rPr>
        <w:t>或无效</w:t>
      </w:r>
      <w:r>
        <w:rPr>
          <w:rFonts w:hint="eastAsia" w:ascii="宋体" w:hAnsi="宋体" w:eastAsia="宋体" w:cs="宋体"/>
          <w:color w:val="auto"/>
          <w:spacing w:val="2"/>
          <w:sz w:val="24"/>
          <w:szCs w:val="24"/>
          <w:highlight w:val="none"/>
        </w:rPr>
        <w:t>的响应文件按无效标处理；</w:t>
      </w:r>
      <w:r>
        <w:rPr>
          <w:rFonts w:hint="eastAsia" w:ascii="宋体" w:hAnsi="宋体" w:eastAsia="宋体" w:cs="宋体"/>
          <w:color w:val="auto"/>
          <w:sz w:val="24"/>
          <w:szCs w:val="24"/>
          <w:highlight w:val="none"/>
        </w:rPr>
        <w:t>其响应文件将于开标结束后予以退还。</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⑷采购代理机构当众宣布核查结果，并宣读有效竞标的供应商名称、竞标保证金以及采购代理机构认为需要宣布的其他内容；</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⑸由各竞标单位代表各自检验自己响应文件密封的完整性；</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⑹由</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 xml:space="preserve">和监标人员一同检验清点核对响应文件密封情况是否完整，文件签署是否正确，并宣读核查结果，请竞标供应商书面确认后退场。竞标供应商退场后移步谈判等候区，等待下一阶段的技术方案谈判及商务谈判。 </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(7)宣布谈判与</w:t>
      </w:r>
      <w:r>
        <w:rPr>
          <w:rFonts w:hint="eastAsia" w:ascii="宋体" w:hAnsi="宋体" w:eastAsia="宋体" w:cs="宋体"/>
          <w:color w:val="auto"/>
          <w:spacing w:val="2"/>
          <w:sz w:val="24"/>
          <w:szCs w:val="24"/>
          <w:highlight w:val="none"/>
          <w:lang w:eastAsia="zh-CN"/>
        </w:rPr>
        <w:t>评审</w:t>
      </w:r>
      <w:r>
        <w:rPr>
          <w:rFonts w:hint="eastAsia" w:ascii="宋体" w:hAnsi="宋体" w:eastAsia="宋体" w:cs="宋体"/>
          <w:color w:val="auto"/>
          <w:spacing w:val="2"/>
          <w:sz w:val="24"/>
          <w:szCs w:val="24"/>
          <w:highlight w:val="none"/>
        </w:rPr>
        <w:t>期间的有关事项；</w:t>
      </w:r>
    </w:p>
    <w:p>
      <w:pPr>
        <w:spacing w:line="360" w:lineRule="auto"/>
        <w:ind w:firstLine="488" w:firstLineChars="200"/>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（8）开标会议结束；</w:t>
      </w:r>
    </w:p>
    <w:p>
      <w:pPr>
        <w:spacing w:line="360" w:lineRule="auto"/>
        <w:ind w:firstLine="480" w:firstLineChars="200"/>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18.3.2</w:t>
      </w:r>
      <w:r>
        <w:rPr>
          <w:rFonts w:hint="eastAsia" w:ascii="宋体" w:hAnsi="宋体" w:eastAsia="宋体" w:cs="宋体"/>
          <w:color w:val="auto"/>
          <w:spacing w:val="2"/>
          <w:sz w:val="24"/>
          <w:szCs w:val="24"/>
          <w:highlight w:val="none"/>
        </w:rPr>
        <w:t>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①出席评审的有关人员为谈判小组成员。竞标单位在谈判期间提交的密封的所有响应文件须经谈判小组成员和监督人员同时验证后方能拆封，任何个人不得私自拆封。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②谈判时，竞标单位的法人代表或委托代理人必须参加谈判。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谈判小组通过对各竞标单位的响应文件进行初步审查后，谈判双方以竞争性谈判条件为依据，由竞标单位对提交的响应文件及服务承诺等做出陈述。谈判小组将根据竞标单位的响应文件、陈述尚未明晰或需要进一步了解的细节列出与各竞标单位谈判的提纲并向竞标单位询问，竞标单位应依次对谈判小组提出的问题做出答复，必要时要求竞标单位对其竞标内容、补充方案或修改意见做出书面澄清。同时代理机构工作人员对谈判内容做好记录并将此记录交由谈判小组及竞标单位核实，核实无误后由竞标单位代表签字作为书面应答文件（将作为合同的组成部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④二次报价：</w:t>
      </w:r>
      <w:r>
        <w:rPr>
          <w:rFonts w:hint="eastAsia" w:ascii="宋体" w:hAnsi="宋体" w:eastAsia="宋体" w:cs="宋体"/>
          <w:bCs/>
          <w:color w:val="auto"/>
          <w:sz w:val="24"/>
          <w:szCs w:val="24"/>
          <w:highlight w:val="none"/>
        </w:rPr>
        <w:t>谈判小组应在商务、技术和服务条件谈判后，邀请能满足采购文件所规定实质性要求的质量和服务的所有供应商进行二次报价。</w:t>
      </w:r>
    </w:p>
    <w:p>
      <w:pPr>
        <w:spacing w:line="380" w:lineRule="exact"/>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18.4谈判原则</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18.4.1、必须公平、公正、客观，不带任何倾向性和启发性；</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18.4.2、谈判人员不得向外界透露任何与谈判有关的内容； </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18.4.3、任何单位和个人不得干扰、影响谈判的正常进行；</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18.4.4、谈判人员不得私下与竞标单位接触。</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   响应文件有下列情况之一者将视为竞标无效：</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.5.1 响应文件未按规定封装、密封；</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.5.2 竞标单位法定代表人或其委托代理人未签字；</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.5.3 竞标单位未加盖单位公章；</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.5.4 未按规定的格式填写或者字迹模糊、辨认不清；</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.5.5 供应商未按竞争性谈判文件的规定递交竞标保证金的；</w:t>
      </w:r>
    </w:p>
    <w:p>
      <w:pPr>
        <w:spacing w:line="380" w:lineRule="exact"/>
        <w:ind w:left="908" w:leftChars="200" w:hanging="468" w:hanging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.5.6 供应商法定代表人或授权代表未按时参加开标会议的；</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.5.7 竞标截止时间以后送达的响应文件；</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.5.8 响应文件内容不真实；</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18.5.9 </w:t>
      </w:r>
      <w:r>
        <w:rPr>
          <w:rFonts w:hint="eastAsia" w:ascii="宋体" w:hAnsi="宋体" w:eastAsia="宋体" w:cs="宋体"/>
          <w:color w:val="auto"/>
          <w:spacing w:val="2"/>
          <w:sz w:val="24"/>
          <w:szCs w:val="24"/>
          <w:highlight w:val="none"/>
        </w:rPr>
        <w:t>响应文件不满足供应商最低资质等级和</w:t>
      </w:r>
      <w:r>
        <w:rPr>
          <w:rFonts w:hint="eastAsia" w:ascii="宋体" w:hAnsi="宋体" w:eastAsia="宋体" w:cs="宋体"/>
          <w:color w:val="auto"/>
          <w:sz w:val="24"/>
          <w:szCs w:val="24"/>
          <w:highlight w:val="none"/>
        </w:rPr>
        <w:t>营业执照要求。</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18.5.10供应商营业执照等资格文件不符合要求及复印件未加盖供应商公章的。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18.5.11超出采购控制价的。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18.5.12不符合法律法规规定的及竞争性谈判文件其它实质性内容的。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18.6至竞标截止时间止，递交响应文件的竞标单位不足三家时，本项目不予开标作废标处理，需要采取其他方式采购的，应当在采购活动开始前获得设区的市、自治州以上人民政府采购监督管理部门或者政府有关部门批准。</w:t>
      </w:r>
    </w:p>
    <w:p>
      <w:pPr>
        <w:spacing w:line="380" w:lineRule="exact"/>
        <w:ind w:firstLine="468" w:firstLineChars="195"/>
        <w:jc w:val="center"/>
        <w:outlineLvl w:val="2"/>
        <w:rPr>
          <w:rFonts w:ascii="宋体" w:hAnsi="宋体" w:eastAsia="宋体" w:cs="宋体"/>
          <w:color w:val="auto"/>
          <w:sz w:val="24"/>
          <w:szCs w:val="24"/>
          <w:highlight w:val="none"/>
        </w:rPr>
      </w:pPr>
    </w:p>
    <w:p>
      <w:pPr>
        <w:spacing w:line="380" w:lineRule="exact"/>
        <w:ind w:firstLine="470" w:firstLineChars="195"/>
        <w:jc w:val="center"/>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  审</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19、评审内容的保密</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进入评审后，直到宣布授予成交人合同为止，凡属于审查、澄清、评价和比较竞标的有关资料及有关授予合同的信息，都不应向供应商或与评审无关的其他人泄露。</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在响应文件的审查、澄清、评价和比较以及授予合同的过程中，供应商对采购代理机构和谈判小组成员施加影响的任何行为，都将导致被取消竞标资格。</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20、资格审查</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20.1本项目资格审查采用资格后审，参加本次竞标的单位均要通过资格审查才能获得竞标资格。</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20.2资格审查内容为：</w:t>
      </w:r>
      <w:r>
        <w:rPr>
          <w:rFonts w:hint="eastAsia" w:ascii="宋体" w:hAnsi="宋体" w:eastAsia="宋体" w:cs="宋体"/>
          <w:color w:val="auto"/>
          <w:spacing w:val="2"/>
          <w:sz w:val="24"/>
          <w:szCs w:val="24"/>
          <w:highlight w:val="none"/>
        </w:rPr>
        <w:t>按10.3条款资格审查部分内容审查，要求资料齐全和有效</w:t>
      </w:r>
      <w:r>
        <w:rPr>
          <w:rFonts w:hint="eastAsia" w:ascii="宋体" w:hAnsi="宋体" w:eastAsia="宋体" w:cs="宋体"/>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21、响应文件的符合性鉴定</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在谈判之后详细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之前，谈判小组将首先与供应商就响应文件中不清楚的内容进行谈判及澄清，然后将依据谈判及澄清的内容审定每份响应文件是否在实质上响应了竞争性谈判文件的要求。</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就本条款而言，实质上响应要求的响应文件，应该与竞争性谈判文件的所规定资格条件、技术参数产生实质性影响；或者对合同中规定的采购代理机构的权力及供应商的责任造成实质性限制。</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22、响应文件的澄清</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为了有助于响应文件的审查、评价和比较，谈判小组可以个别地要求供应商澄清其响应文件。有关澄清的要求与答复，应以书面形式进行。</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23、错误的修正</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23.1谈判小组将对确定为实质上响应竞争性谈判文件要求的响应文件进行校核，看其是否有计算上或累计上的算术错误，修正错误的原则如下：</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23.1.1 如果用阿拉伯数字表示的数额与用汉语文字表示的数额（人民币大写）不一致时，以汉语文字数额（人民币大写）为准。</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23.1.2 当单价与合价之间不一致时，以标出的单价为准。除非谈判小组或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小组认为有明显的小数点错位，此时应以标出的合价为准，并修改单价。</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按上述修改错误的方法，调整竞标书中的竞标报价。经供应商确认同意后，调整后的报价对供应商起约束作用。如果供应商不接受修正后的竞标报价则其竞标将被拒绝，视为无效竞标。</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 响应文件正本与响应文件副本不符的以正本为准。</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24、响应文件的评价与比较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24.1谈判小组将仅对响应文件组成第10条确定为实质上响应竞争性谈判文件要求（即符合性鉴定合格）的响应文件进行评价与比较。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谈判小组将依照响应文件组成第10条对通过符合性鉴定的响应文件的竞标报价进行校核与修正。</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25、评审办法 </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25.1、评审原则</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(1)谈判小组构成：</w:t>
      </w:r>
      <w:r>
        <w:rPr>
          <w:rFonts w:hint="eastAsia" w:ascii="宋体" w:hAnsi="宋体" w:eastAsia="宋体" w:cs="宋体"/>
          <w:bCs/>
          <w:color w:val="auto"/>
          <w:sz w:val="24"/>
          <w:szCs w:val="24"/>
          <w:highlight w:val="none"/>
        </w:rPr>
        <w:t>本采购项目</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委员会由采购人代表和评审专家共3人以上单数组成，其中评审专家人数不得少于</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委员会成员总数的2/3。</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(2)评审依据：谈判小组将以竞争性谈判文件和响应文件为评定依据进行评审。</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25.2、评审方法</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（1）初步评审：谈判小组应当按照客观、公正、审慎的原则，根据采购文件规定的评审程序、评审方法和评审标准进行独立</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谈判小组对商务文件进行符合性鉴定，对实质上不响应竞争性谈判文件要求的竞标予以拒绝；谈判小组对竞标单位资格文件进行资格鉴定，对资格审查不响应竞争性谈判文件要求的竞标予以拒绝，对技术标进行评审，技术标评审按可行与不可行来评定，对技术标不可行的竞标予以拒绝。未实质性响应谈判文件的响应文件按无效处理，谈判小组应当告知有关供应商。谈判小组对响应文件的有效性、完整性和响应程度进行审查，记录有关情况，并拟定谈判策略，提出谈判问题。项目审查期间，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事务由依法组建的谈判小组负责,采购代理机构全程回避。</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正式谈判：谈判小组所有成员根据谈判策略，集中与通过初步评审的供应商分别进行谈判，并给予所有参加谈判的供应商平等的谈判机会，分别与每个供应商就技术、报价组成和合同条款等进行充分的谈判，确定供应商所提供的产品质量和服务是否能满足采购文件规定的实质性要求。谈判期间，相关监督部门对谈判过程全程进行监督，具体谈判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委员会负责,采购代理机构进行相关谈判记录。现场监督人员及采购代理机构的工作人员应当遵守</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现场工作纪律，不能出现越权行使</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委员会的权利，代替评委进行</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工作发表任何倾向性意见、向其他专家评委明示或者暗示自己的意见及其他干扰</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工作的行为，及政府采购法相关法律法规禁止出现的行为。</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二次报价邀请：谈判小组应在商务、技术和服务条件谈判后，邀请能满足采购文件所规定实质性要求的质量和服务的所有供应商进行二次报价，并告知供应商二次报价截止时间及二次报价文件编写有关规范。原则上，二次报价为最终报价。</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25.3、在评审过程中，商务标评委发现供应商的最后报价明显低于其他供应商的最后报价或者明显低于本项目采购控制价，使得其竞标可能低于其个别成本的，应当要求供应商作出书面说明并提供相关证明材料；供应商不能合理说明或者不能提供相关证明材料的，由商务标评委认定该竞标以低于其企业成本报价，其竞标作废标处理。</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25.4、成交候选人推荐原则</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（1）谈判小组应按照客观、公正、审慎的原则，根据竞争性谈判文件规定的评审程序、评审方法和评审标准进行独立评审。评审委员会应根据质量和服务均能满足采购文件实质性响应要求的前提下，按</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报价由低到高提出3名以上成交候选供应商，并编写评审报告。</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（2）现场校对及提醒。</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招标代理机构工作人员要对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数据进行校对、核对，对资格性审查认定错误的，分值汇总计算错误的，分项评分超出评分标准范围的，对客观评分因素评分不一致的，畸高、畸低的重大差异评分的可以提示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委员会复核或书面说明理由。应提醒</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委员会对评分汇总情况进行复核，特别是对排名第一的、报价最低的、投标或相应文件被认定为无效的情形，应对其商务、服务、技术及价格等各方面情况进行重点复核。</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竞争性谈判过程中出现多家供应商</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价最低且相同时，应组织</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价最低的供应商只对价格重新报价，直至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价最低供应商仅为一家。</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工作由采购代理机构负责组织，具体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委员会负责。根据</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委员会的要求组织供应商澄清，</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委员会对投标文件中含义不明确、同类问题表述不一致或者有明显文字和计算错误的内容，可以书面形式要求投标供应商作出必要的澄清、说明或者纠正。</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（3）小型和微型企业最后报价扣除计算。</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按照《政府采购促进中小企业发展管理办法》（财库[2020]46号），对小型和微型企业最后报价给予</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%的扣除，扣除后的价格为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报价=最后报价×（1-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%）；大中型企业与小型、微型企业组成联合体竞标，或大中型企业向小微企业分包的，联合体或者大中型企业最后报价给予</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%的扣除，扣除后的价格为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报价=最后报价×（1-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%）；除上述情况外，</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报价=最后报价。</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按照《财政部、司法部关于政府采购支持监狱企业发展有关问题的通知》（财库〔2014〕68号）之规定，监狱企业视同小型、微型企业，享受预留份额、评审中价格扣除等政府采购政策。</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szCs w:val="24"/>
          <w:highlight w:val="none"/>
        </w:rPr>
        <w:t>25.5本项目是以政府采购预算价为最高限价，当供应商的最终竞标报价超出</w:t>
      </w:r>
      <w:r>
        <w:rPr>
          <w:rFonts w:hint="eastAsia" w:ascii="宋体" w:hAnsi="宋体" w:eastAsia="宋体" w:cs="宋体"/>
          <w:color w:val="auto"/>
          <w:sz w:val="24"/>
          <w:szCs w:val="24"/>
          <w:highlight w:val="none"/>
          <w:lang w:val="en-US" w:eastAsia="zh-CN"/>
        </w:rPr>
        <w:t>我院</w:t>
      </w:r>
      <w:r>
        <w:rPr>
          <w:rFonts w:hint="eastAsia" w:ascii="宋体" w:hAnsi="宋体" w:eastAsia="宋体" w:cs="宋体"/>
          <w:color w:val="auto"/>
          <w:sz w:val="24"/>
          <w:szCs w:val="24"/>
          <w:highlight w:val="none"/>
        </w:rPr>
        <w:t>采购预算价时，采购人不能支付的，谈判小组对其响应文件将不予以评审。</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val="en-US" w:eastAsia="zh-CN"/>
        </w:rPr>
        <w:t>设备</w:t>
      </w:r>
      <w:r>
        <w:rPr>
          <w:rFonts w:hint="eastAsia" w:ascii="宋体" w:hAnsi="宋体" w:eastAsia="宋体" w:cs="宋体"/>
          <w:b/>
          <w:color w:val="auto"/>
          <w:sz w:val="24"/>
          <w:szCs w:val="24"/>
          <w:highlight w:val="none"/>
        </w:rPr>
        <w:t>采购预算价为：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叁</w:t>
      </w:r>
      <w:r>
        <w:rPr>
          <w:rFonts w:hint="eastAsia" w:ascii="宋体" w:hAnsi="宋体" w:eastAsia="宋体" w:cs="宋体"/>
          <w:b/>
          <w:color w:val="auto"/>
          <w:sz w:val="24"/>
          <w:szCs w:val="24"/>
          <w:highlight w:val="none"/>
          <w:u w:val="single"/>
          <w:lang w:eastAsia="zh-CN"/>
        </w:rPr>
        <w:t>拾万元整</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lang w:val="en-US" w:eastAsia="zh-CN"/>
        </w:rPr>
        <w:t>300000.00</w:t>
      </w:r>
      <w:r>
        <w:rPr>
          <w:rFonts w:hint="eastAsia" w:ascii="宋体" w:hAnsi="宋体" w:eastAsia="宋体" w:cs="宋体"/>
          <w:b/>
          <w:color w:val="auto"/>
          <w:sz w:val="24"/>
          <w:szCs w:val="24"/>
          <w:highlight w:val="none"/>
          <w:u w:val="single"/>
        </w:rPr>
        <w:t>元）</w:t>
      </w:r>
      <w:r>
        <w:rPr>
          <w:rFonts w:hint="eastAsia" w:ascii="宋体" w:hAnsi="宋体" w:eastAsia="宋体" w:cs="宋体"/>
          <w:b/>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26. </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内容的保密</w:t>
      </w:r>
    </w:p>
    <w:p>
      <w:pPr>
        <w:spacing w:line="440" w:lineRule="exact"/>
        <w:ind w:firstLine="48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.1 在</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活动中，凡属于审查、澄清、评价和比较竞标的有关资料及有关授予合同的信息，都不应向供应商或与</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无关的其他人泄露。</w:t>
      </w:r>
    </w:p>
    <w:p>
      <w:pPr>
        <w:spacing w:line="440" w:lineRule="exact"/>
        <w:ind w:firstLine="36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.2 在响应文件的审查、澄清、评价和比较以及授予合同的过程中，供应商对采购人和谈判小组成员施加影响的任何行为，都将导致被取消竞标资格。</w:t>
      </w:r>
    </w:p>
    <w:p>
      <w:pPr>
        <w:pStyle w:val="12"/>
        <w:spacing w:line="400" w:lineRule="exact"/>
        <w:outlineLvl w:val="2"/>
        <w:rPr>
          <w:rFonts w:hAnsi="宋体" w:cs="宋体"/>
          <w:b/>
          <w:color w:val="auto"/>
          <w:sz w:val="24"/>
          <w:szCs w:val="24"/>
          <w:highlight w:val="none"/>
        </w:rPr>
      </w:pPr>
      <w:bookmarkStart w:id="11" w:name="_Toc156106957"/>
      <w:bookmarkStart w:id="12" w:name="_Toc300675940"/>
      <w:bookmarkStart w:id="13" w:name="_Toc300676150"/>
      <w:r>
        <w:rPr>
          <w:rFonts w:hint="eastAsia" w:hAnsi="宋体" w:cs="宋体"/>
          <w:b/>
          <w:color w:val="auto"/>
          <w:sz w:val="24"/>
          <w:szCs w:val="24"/>
          <w:highlight w:val="none"/>
        </w:rPr>
        <w:t>27.无效的</w:t>
      </w:r>
      <w:bookmarkEnd w:id="11"/>
      <w:bookmarkEnd w:id="12"/>
      <w:bookmarkEnd w:id="13"/>
      <w:r>
        <w:rPr>
          <w:rFonts w:hint="eastAsia" w:hAnsi="宋体" w:cs="宋体"/>
          <w:b/>
          <w:color w:val="auto"/>
          <w:sz w:val="24"/>
          <w:szCs w:val="24"/>
          <w:highlight w:val="none"/>
        </w:rPr>
        <w:t>响应文件</w:t>
      </w:r>
    </w:p>
    <w:p>
      <w:pPr>
        <w:pStyle w:val="12"/>
        <w:spacing w:line="400" w:lineRule="exact"/>
        <w:ind w:firstLine="420"/>
        <w:rPr>
          <w:rFonts w:hAnsi="宋体" w:cs="宋体"/>
          <w:color w:val="auto"/>
          <w:sz w:val="24"/>
          <w:szCs w:val="24"/>
          <w:highlight w:val="none"/>
        </w:rPr>
      </w:pPr>
      <w:r>
        <w:rPr>
          <w:rFonts w:hint="eastAsia" w:hAnsi="宋体" w:cs="宋体"/>
          <w:color w:val="auto"/>
          <w:sz w:val="24"/>
          <w:szCs w:val="24"/>
          <w:highlight w:val="none"/>
        </w:rPr>
        <w:t>25.1响应文件如出现下列情况之一，将会在</w:t>
      </w:r>
      <w:r>
        <w:rPr>
          <w:rFonts w:hint="eastAsia" w:hAnsi="宋体" w:cs="宋体"/>
          <w:color w:val="auto"/>
          <w:sz w:val="24"/>
          <w:szCs w:val="24"/>
          <w:highlight w:val="none"/>
          <w:lang w:eastAsia="zh-CN"/>
        </w:rPr>
        <w:t>评审</w:t>
      </w:r>
      <w:r>
        <w:rPr>
          <w:rFonts w:hint="eastAsia" w:hAnsi="宋体" w:cs="宋体"/>
          <w:color w:val="auto"/>
          <w:sz w:val="24"/>
          <w:szCs w:val="24"/>
          <w:highlight w:val="none"/>
        </w:rPr>
        <w:t>中按照无效文件处理。</w:t>
      </w:r>
    </w:p>
    <w:p>
      <w:pPr>
        <w:pStyle w:val="12"/>
        <w:numPr>
          <w:ilvl w:val="0"/>
          <w:numId w:val="1"/>
        </w:numPr>
        <w:spacing w:line="400" w:lineRule="exact"/>
        <w:rPr>
          <w:rFonts w:hAnsi="宋体" w:cs="宋体"/>
          <w:color w:val="auto"/>
          <w:sz w:val="24"/>
          <w:szCs w:val="24"/>
          <w:highlight w:val="none"/>
        </w:rPr>
      </w:pPr>
      <w:r>
        <w:rPr>
          <w:rFonts w:hint="eastAsia" w:hAnsi="宋体" w:cs="宋体"/>
          <w:color w:val="auto"/>
          <w:sz w:val="24"/>
          <w:szCs w:val="24"/>
          <w:highlight w:val="none"/>
        </w:rPr>
        <w:t>未按规定缴纳竞标保证金或未交竞标保证金的；</w:t>
      </w:r>
    </w:p>
    <w:p>
      <w:pPr>
        <w:pStyle w:val="12"/>
        <w:numPr>
          <w:ilvl w:val="0"/>
          <w:numId w:val="1"/>
        </w:numPr>
        <w:spacing w:line="400" w:lineRule="exact"/>
        <w:rPr>
          <w:rFonts w:hAnsi="宋体" w:cs="宋体"/>
          <w:color w:val="auto"/>
          <w:sz w:val="24"/>
          <w:szCs w:val="24"/>
          <w:highlight w:val="none"/>
        </w:rPr>
      </w:pPr>
      <w:r>
        <w:rPr>
          <w:rFonts w:hint="eastAsia" w:hAnsi="宋体" w:cs="宋体"/>
          <w:color w:val="auto"/>
          <w:sz w:val="24"/>
          <w:szCs w:val="24"/>
          <w:highlight w:val="none"/>
        </w:rPr>
        <w:t>未按照</w:t>
      </w:r>
      <w:r>
        <w:rPr>
          <w:rFonts w:hint="eastAsia" w:hAnsi="宋体" w:cs="宋体"/>
          <w:bCs/>
          <w:color w:val="auto"/>
          <w:sz w:val="24"/>
          <w:szCs w:val="24"/>
          <w:highlight w:val="none"/>
        </w:rPr>
        <w:t>谈判文件</w:t>
      </w:r>
      <w:r>
        <w:rPr>
          <w:rFonts w:hint="eastAsia" w:hAnsi="宋体" w:cs="宋体"/>
          <w:color w:val="auto"/>
          <w:sz w:val="24"/>
          <w:szCs w:val="24"/>
          <w:highlight w:val="none"/>
        </w:rPr>
        <w:t>规定要求密封、签署、盖章的；</w:t>
      </w:r>
    </w:p>
    <w:p>
      <w:pPr>
        <w:pStyle w:val="12"/>
        <w:numPr>
          <w:ilvl w:val="0"/>
          <w:numId w:val="1"/>
        </w:numPr>
        <w:spacing w:line="400" w:lineRule="exact"/>
        <w:rPr>
          <w:rFonts w:hAnsi="宋体" w:cs="宋体"/>
          <w:color w:val="auto"/>
          <w:sz w:val="24"/>
          <w:szCs w:val="24"/>
          <w:highlight w:val="none"/>
        </w:rPr>
      </w:pPr>
      <w:r>
        <w:rPr>
          <w:rFonts w:hint="eastAsia" w:hAnsi="宋体" w:cs="宋体"/>
          <w:color w:val="auto"/>
          <w:sz w:val="24"/>
          <w:szCs w:val="24"/>
          <w:highlight w:val="none"/>
        </w:rPr>
        <w:t>不具备</w:t>
      </w:r>
      <w:r>
        <w:rPr>
          <w:rFonts w:hint="eastAsia" w:hAnsi="宋体" w:cs="宋体"/>
          <w:bCs/>
          <w:color w:val="auto"/>
          <w:sz w:val="24"/>
          <w:szCs w:val="24"/>
          <w:highlight w:val="none"/>
        </w:rPr>
        <w:t>谈判文件</w:t>
      </w:r>
      <w:r>
        <w:rPr>
          <w:rFonts w:hint="eastAsia" w:hAnsi="宋体" w:cs="宋体"/>
          <w:color w:val="auto"/>
          <w:sz w:val="24"/>
          <w:szCs w:val="24"/>
          <w:highlight w:val="none"/>
        </w:rPr>
        <w:t>中规定资格要求的；</w:t>
      </w:r>
    </w:p>
    <w:p>
      <w:pPr>
        <w:pStyle w:val="12"/>
        <w:numPr>
          <w:ilvl w:val="0"/>
          <w:numId w:val="1"/>
        </w:numPr>
        <w:spacing w:line="400" w:lineRule="exact"/>
        <w:rPr>
          <w:rFonts w:hAnsi="宋体" w:cs="宋体"/>
          <w:color w:val="auto"/>
          <w:sz w:val="24"/>
          <w:szCs w:val="24"/>
          <w:highlight w:val="none"/>
        </w:rPr>
      </w:pPr>
      <w:r>
        <w:rPr>
          <w:rFonts w:hint="eastAsia" w:hAnsi="宋体" w:cs="宋体"/>
          <w:color w:val="auto"/>
          <w:sz w:val="24"/>
          <w:szCs w:val="24"/>
          <w:highlight w:val="none"/>
        </w:rPr>
        <w:t>不符合法律、法规的；</w:t>
      </w:r>
    </w:p>
    <w:p>
      <w:pPr>
        <w:pStyle w:val="12"/>
        <w:numPr>
          <w:ilvl w:val="0"/>
          <w:numId w:val="1"/>
        </w:numPr>
        <w:spacing w:line="400" w:lineRule="exact"/>
        <w:rPr>
          <w:rFonts w:hAnsi="宋体" w:cs="宋体"/>
          <w:color w:val="auto"/>
          <w:sz w:val="24"/>
          <w:szCs w:val="24"/>
          <w:highlight w:val="none"/>
        </w:rPr>
      </w:pPr>
      <w:r>
        <w:rPr>
          <w:rFonts w:hint="eastAsia" w:hAnsi="宋体" w:cs="宋体"/>
          <w:bCs/>
          <w:color w:val="auto"/>
          <w:sz w:val="24"/>
          <w:szCs w:val="24"/>
          <w:highlight w:val="none"/>
        </w:rPr>
        <w:t>供应商的最终报价超过了采购预算的；</w:t>
      </w:r>
    </w:p>
    <w:p>
      <w:pPr>
        <w:pStyle w:val="12"/>
        <w:numPr>
          <w:ilvl w:val="0"/>
          <w:numId w:val="1"/>
        </w:numPr>
        <w:spacing w:line="400" w:lineRule="exact"/>
        <w:rPr>
          <w:rFonts w:hAnsi="宋体" w:cs="宋体"/>
          <w:color w:val="auto"/>
          <w:sz w:val="24"/>
          <w:szCs w:val="24"/>
          <w:highlight w:val="none"/>
        </w:rPr>
      </w:pPr>
      <w:r>
        <w:rPr>
          <w:rFonts w:hint="eastAsia" w:hAnsi="宋体" w:cs="宋体"/>
          <w:color w:val="auto"/>
          <w:sz w:val="24"/>
          <w:szCs w:val="24"/>
          <w:highlight w:val="none"/>
        </w:rPr>
        <w:t>不符合</w:t>
      </w:r>
      <w:r>
        <w:rPr>
          <w:rFonts w:hint="eastAsia" w:hAnsi="宋体" w:cs="宋体"/>
          <w:bCs/>
          <w:color w:val="auto"/>
          <w:sz w:val="24"/>
          <w:szCs w:val="24"/>
          <w:highlight w:val="none"/>
        </w:rPr>
        <w:t>谈判文件</w:t>
      </w:r>
      <w:r>
        <w:rPr>
          <w:rFonts w:hint="eastAsia" w:hAnsi="宋体" w:cs="宋体"/>
          <w:color w:val="auto"/>
          <w:sz w:val="24"/>
          <w:szCs w:val="24"/>
          <w:highlight w:val="none"/>
        </w:rPr>
        <w:t>中规定的其它实质性要求并且在谈判规定的时间内无法说明和补充的；</w:t>
      </w:r>
    </w:p>
    <w:p>
      <w:pPr>
        <w:pStyle w:val="12"/>
        <w:numPr>
          <w:ilvl w:val="0"/>
          <w:numId w:val="1"/>
        </w:numPr>
        <w:spacing w:line="400" w:lineRule="exact"/>
        <w:rPr>
          <w:rFonts w:hAnsi="宋体" w:cs="宋体"/>
          <w:color w:val="auto"/>
          <w:sz w:val="24"/>
          <w:szCs w:val="24"/>
          <w:highlight w:val="none"/>
        </w:rPr>
      </w:pPr>
      <w:r>
        <w:rPr>
          <w:rFonts w:hint="eastAsia" w:hAnsi="宋体" w:cs="宋体"/>
          <w:color w:val="auto"/>
          <w:sz w:val="24"/>
          <w:szCs w:val="24"/>
          <w:highlight w:val="none"/>
        </w:rPr>
        <w:t>未按</w:t>
      </w:r>
      <w:r>
        <w:rPr>
          <w:rFonts w:hint="eastAsia" w:hAnsi="宋体" w:cs="宋体"/>
          <w:bCs/>
          <w:color w:val="auto"/>
          <w:sz w:val="24"/>
          <w:szCs w:val="24"/>
          <w:highlight w:val="none"/>
        </w:rPr>
        <w:t>谈判文件</w:t>
      </w:r>
      <w:r>
        <w:rPr>
          <w:rFonts w:hint="eastAsia" w:hAnsi="宋体" w:cs="宋体"/>
          <w:color w:val="auto"/>
          <w:sz w:val="24"/>
          <w:szCs w:val="24"/>
          <w:highlight w:val="none"/>
        </w:rPr>
        <w:t>中提出实质性要求和条件作出完全响应的；</w:t>
      </w:r>
    </w:p>
    <w:p>
      <w:pPr>
        <w:pStyle w:val="12"/>
        <w:numPr>
          <w:ilvl w:val="0"/>
          <w:numId w:val="1"/>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由同一单位或者个人编制；</w:t>
      </w:r>
    </w:p>
    <w:p>
      <w:pPr>
        <w:pStyle w:val="12"/>
        <w:numPr>
          <w:ilvl w:val="0"/>
          <w:numId w:val="1"/>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委托同一单位或者个人办理</w:t>
      </w:r>
      <w:r>
        <w:rPr>
          <w:rFonts w:hint="eastAsia" w:hAnsi="宋体" w:cs="宋体"/>
          <w:color w:val="auto"/>
          <w:sz w:val="24"/>
          <w:szCs w:val="24"/>
          <w:highlight w:val="none"/>
        </w:rPr>
        <w:t>竞标</w:t>
      </w:r>
      <w:r>
        <w:rPr>
          <w:rFonts w:hint="eastAsia" w:hAnsi="宋体" w:cs="宋体"/>
          <w:bCs/>
          <w:color w:val="auto"/>
          <w:sz w:val="24"/>
          <w:szCs w:val="24"/>
          <w:highlight w:val="none"/>
        </w:rPr>
        <w:t>事宜；</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（10）不同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异常一致或者</w:t>
      </w:r>
      <w:r>
        <w:rPr>
          <w:rFonts w:hint="eastAsia" w:hAnsi="宋体" w:cs="宋体"/>
          <w:color w:val="auto"/>
          <w:sz w:val="24"/>
          <w:szCs w:val="24"/>
          <w:highlight w:val="none"/>
        </w:rPr>
        <w:t>竞标</w:t>
      </w:r>
      <w:r>
        <w:rPr>
          <w:rFonts w:hint="eastAsia" w:hAnsi="宋体" w:cs="宋体"/>
          <w:bCs/>
          <w:color w:val="auto"/>
          <w:sz w:val="24"/>
          <w:szCs w:val="24"/>
          <w:highlight w:val="none"/>
        </w:rPr>
        <w:t>报价呈规律性差异；</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（11）不同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相互混装；</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（12）不同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竞标</w:t>
      </w:r>
      <w:r>
        <w:rPr>
          <w:rFonts w:hint="eastAsia" w:hAnsi="宋体" w:cs="宋体"/>
          <w:bCs/>
          <w:color w:val="auto"/>
          <w:sz w:val="24"/>
          <w:szCs w:val="24"/>
          <w:highlight w:val="none"/>
        </w:rPr>
        <w:t>保证金从同一单位或者个人的账户转出。</w:t>
      </w:r>
    </w:p>
    <w:p>
      <w:pPr>
        <w:pStyle w:val="12"/>
        <w:spacing w:line="400" w:lineRule="exact"/>
        <w:outlineLvl w:val="2"/>
        <w:rPr>
          <w:rFonts w:hAnsi="宋体" w:cs="宋体"/>
          <w:b/>
          <w:color w:val="auto"/>
          <w:sz w:val="24"/>
          <w:szCs w:val="24"/>
          <w:highlight w:val="none"/>
        </w:rPr>
      </w:pPr>
      <w:r>
        <w:rPr>
          <w:rFonts w:hint="eastAsia" w:hAnsi="宋体" w:cs="宋体"/>
          <w:b/>
          <w:color w:val="auto"/>
          <w:sz w:val="24"/>
          <w:szCs w:val="24"/>
          <w:highlight w:val="none"/>
        </w:rPr>
        <w:t xml:space="preserve"> </w:t>
      </w:r>
      <w:bookmarkStart w:id="14" w:name="_Toc156106958"/>
      <w:bookmarkStart w:id="15" w:name="_Toc300676151"/>
      <w:bookmarkStart w:id="16" w:name="_Toc300675941"/>
      <w:r>
        <w:rPr>
          <w:rFonts w:hint="eastAsia" w:hAnsi="宋体" w:cs="宋体"/>
          <w:b/>
          <w:color w:val="auto"/>
          <w:sz w:val="24"/>
          <w:szCs w:val="24"/>
          <w:highlight w:val="none"/>
        </w:rPr>
        <w:t>28.废标</w:t>
      </w:r>
      <w:bookmarkEnd w:id="14"/>
      <w:bookmarkEnd w:id="15"/>
      <w:bookmarkEnd w:id="16"/>
    </w:p>
    <w:p>
      <w:pPr>
        <w:pStyle w:val="12"/>
        <w:spacing w:line="400" w:lineRule="exact"/>
        <w:ind w:firstLine="435"/>
        <w:rPr>
          <w:rFonts w:hAnsi="宋体" w:cs="宋体"/>
          <w:bCs/>
          <w:color w:val="auto"/>
          <w:sz w:val="24"/>
          <w:szCs w:val="24"/>
          <w:highlight w:val="none"/>
        </w:rPr>
      </w:pPr>
      <w:r>
        <w:rPr>
          <w:rFonts w:hint="eastAsia" w:hAnsi="宋体" w:cs="宋体"/>
          <w:bCs/>
          <w:color w:val="auto"/>
          <w:sz w:val="24"/>
          <w:szCs w:val="24"/>
          <w:highlight w:val="none"/>
        </w:rPr>
        <w:t>28.1采购项目出现下列情形之一的，采购代理机构将予以废标：</w:t>
      </w:r>
    </w:p>
    <w:p>
      <w:pPr>
        <w:pStyle w:val="12"/>
        <w:spacing w:line="440" w:lineRule="exact"/>
        <w:ind w:firstLine="435"/>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过程中符合专业条件或者对谈判采购文件作实质响应的供应商不足三家的；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（2）出现影响采购公正的违法、违规行为的；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（3）供应商的最终报价均超出预算价，采购人不能支付的；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（4）因重大变故，采购任务取消的。</w:t>
      </w:r>
    </w:p>
    <w:p>
      <w:pPr>
        <w:pStyle w:val="12"/>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28.2废标后，采购代理机构将把废标理由通知所有供应商。</w:t>
      </w:r>
    </w:p>
    <w:p>
      <w:pPr>
        <w:spacing w:line="44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bookmarkStart w:id="17" w:name="_Toc300676153"/>
      <w:bookmarkStart w:id="18" w:name="_Toc300675943"/>
      <w:bookmarkStart w:id="19" w:name="_Toc156106960"/>
      <w:r>
        <w:rPr>
          <w:rFonts w:hint="eastAsia" w:ascii="宋体" w:hAnsi="宋体" w:eastAsia="宋体" w:cs="宋体"/>
          <w:b/>
          <w:color w:val="auto"/>
          <w:sz w:val="28"/>
          <w:highlight w:val="none"/>
        </w:rPr>
        <w:t>七、合同授予</w:t>
      </w:r>
    </w:p>
    <w:bookmarkEnd w:id="17"/>
    <w:bookmarkEnd w:id="18"/>
    <w:bookmarkEnd w:id="19"/>
    <w:p>
      <w:pPr>
        <w:pStyle w:val="12"/>
        <w:spacing w:line="500" w:lineRule="exact"/>
        <w:outlineLvl w:val="2"/>
        <w:rPr>
          <w:rFonts w:hAnsi="宋体" w:cs="宋体"/>
          <w:b/>
          <w:bCs/>
          <w:color w:val="auto"/>
          <w:sz w:val="24"/>
          <w:szCs w:val="24"/>
          <w:highlight w:val="none"/>
        </w:rPr>
      </w:pPr>
      <w:bookmarkStart w:id="20" w:name="_Toc108835668"/>
      <w:bookmarkStart w:id="21" w:name="_Toc108836079"/>
      <w:bookmarkStart w:id="22" w:name="_Toc30504"/>
      <w:bookmarkStart w:id="23" w:name="_Toc147250342"/>
      <w:bookmarkStart w:id="24" w:name="_Toc147250388"/>
      <w:bookmarkStart w:id="25" w:name="_Toc156106962"/>
      <w:bookmarkStart w:id="26" w:name="_Toc300676155"/>
      <w:bookmarkStart w:id="27" w:name="_Toc147250544"/>
      <w:bookmarkStart w:id="28" w:name="_Toc300675945"/>
      <w:r>
        <w:rPr>
          <w:rFonts w:hint="eastAsia" w:hAnsi="宋体" w:cs="宋体"/>
          <w:b/>
          <w:bCs/>
          <w:color w:val="auto"/>
          <w:sz w:val="24"/>
          <w:szCs w:val="24"/>
          <w:highlight w:val="none"/>
        </w:rPr>
        <w:t>29.合同授予标准</w:t>
      </w:r>
      <w:bookmarkEnd w:id="20"/>
      <w:bookmarkEnd w:id="21"/>
      <w:bookmarkEnd w:id="22"/>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36.1采购人将把合同授予成交人。</w:t>
      </w:r>
    </w:p>
    <w:p>
      <w:pPr>
        <w:pStyle w:val="12"/>
        <w:spacing w:line="500" w:lineRule="exact"/>
        <w:outlineLvl w:val="2"/>
        <w:rPr>
          <w:rFonts w:hAnsi="宋体" w:cs="宋体"/>
          <w:b/>
          <w:bCs/>
          <w:color w:val="auto"/>
          <w:sz w:val="24"/>
          <w:szCs w:val="24"/>
          <w:highlight w:val="none"/>
        </w:rPr>
      </w:pPr>
      <w:bookmarkStart w:id="29" w:name="_Toc199728729"/>
      <w:bookmarkStart w:id="30" w:name="_Toc29776"/>
      <w:r>
        <w:rPr>
          <w:rFonts w:hint="eastAsia" w:hAnsi="宋体" w:cs="宋体"/>
          <w:b/>
          <w:bCs/>
          <w:color w:val="auto"/>
          <w:sz w:val="24"/>
          <w:szCs w:val="24"/>
          <w:highlight w:val="none"/>
        </w:rPr>
        <w:t>30.成交通知书</w:t>
      </w:r>
      <w:bookmarkEnd w:id="29"/>
      <w:bookmarkEnd w:id="30"/>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招标代理机构和采购人在确定成交人后，向成交人发出成交通知。</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30.1 确定出成交人后在竞标有效期截止前，采购人将以书面形式通知成交的供应商其竞标被接受。在该通知书（以下合同条件中称“成交通知书”）中给出采购人对成交人按本合同的成交标价（以下合同条件中称为“合同价格”），以及交货期、质保期等。</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30.2 成交通知书为合同的组成部分。</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30.3 采购人应及时将未成交的结果通知供应商。</w:t>
      </w:r>
    </w:p>
    <w:p>
      <w:pPr>
        <w:pStyle w:val="12"/>
        <w:spacing w:line="500" w:lineRule="exact"/>
        <w:outlineLvl w:val="2"/>
        <w:rPr>
          <w:rFonts w:hAnsi="宋体" w:cs="宋体"/>
          <w:b/>
          <w:color w:val="auto"/>
          <w:sz w:val="24"/>
          <w:szCs w:val="24"/>
          <w:highlight w:val="none"/>
        </w:rPr>
      </w:pPr>
      <w:r>
        <w:rPr>
          <w:rFonts w:hint="eastAsia" w:hAnsi="宋体" w:cs="宋体"/>
          <w:b/>
          <w:bCs/>
          <w:color w:val="auto"/>
          <w:sz w:val="24"/>
          <w:szCs w:val="24"/>
          <w:highlight w:val="none"/>
        </w:rPr>
        <w:t>31.</w:t>
      </w:r>
      <w:r>
        <w:rPr>
          <w:rFonts w:hint="eastAsia" w:hAnsi="宋体" w:cs="宋体"/>
          <w:b/>
          <w:color w:val="auto"/>
          <w:sz w:val="24"/>
          <w:szCs w:val="24"/>
          <w:highlight w:val="none"/>
        </w:rPr>
        <w:t>合同授予标准</w:t>
      </w:r>
      <w:bookmarkEnd w:id="23"/>
      <w:bookmarkEnd w:id="24"/>
      <w:bookmarkEnd w:id="25"/>
      <w:bookmarkEnd w:id="26"/>
      <w:bookmarkEnd w:id="27"/>
      <w:bookmarkEnd w:id="28"/>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31.1合同授予被确定为实质上</w:t>
      </w:r>
      <w:r>
        <w:rPr>
          <w:rFonts w:hint="eastAsia" w:hAnsi="宋体" w:cs="宋体"/>
          <w:color w:val="auto"/>
          <w:sz w:val="24"/>
          <w:szCs w:val="24"/>
          <w:highlight w:val="none"/>
        </w:rPr>
        <w:t>响应谈判文件要</w:t>
      </w:r>
      <w:r>
        <w:rPr>
          <w:rFonts w:hint="eastAsia" w:hAnsi="宋体" w:cs="宋体"/>
          <w:bCs/>
          <w:color w:val="auto"/>
          <w:sz w:val="24"/>
          <w:szCs w:val="24"/>
          <w:highlight w:val="none"/>
        </w:rPr>
        <w:t>求，</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认为具备履行合同能力，报价最低的供应商。</w:t>
      </w:r>
    </w:p>
    <w:p>
      <w:pPr>
        <w:pStyle w:val="12"/>
        <w:spacing w:line="5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31.2 采购人应按照</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报告中推荐的成交候选供应商顺序确定成交供应商。</w:t>
      </w:r>
    </w:p>
    <w:p>
      <w:pPr>
        <w:pStyle w:val="12"/>
        <w:spacing w:line="500" w:lineRule="exact"/>
        <w:ind w:firstLine="420"/>
        <w:rPr>
          <w:rFonts w:hAnsi="宋体" w:cs="宋体"/>
          <w:color w:val="auto"/>
          <w:sz w:val="24"/>
          <w:szCs w:val="24"/>
          <w:highlight w:val="none"/>
        </w:rPr>
      </w:pPr>
      <w:r>
        <w:rPr>
          <w:rFonts w:hint="eastAsia" w:hAnsi="宋体" w:cs="宋体"/>
          <w:bCs/>
          <w:color w:val="auto"/>
          <w:sz w:val="24"/>
          <w:szCs w:val="24"/>
          <w:highlight w:val="none"/>
        </w:rPr>
        <w:t>31</w:t>
      </w:r>
      <w:r>
        <w:rPr>
          <w:rFonts w:hint="eastAsia" w:hAnsi="宋体" w:cs="宋体"/>
          <w:color w:val="auto"/>
          <w:sz w:val="24"/>
          <w:szCs w:val="24"/>
          <w:highlight w:val="none"/>
        </w:rPr>
        <w:t>.3成交供应商因不可抗力或者自身原因不能履行采购合同的，采购人可以合格的成交候选人中另行确定成交供应商，没有合格的成交候选人的，重新开展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p>
    <w:p>
      <w:pPr>
        <w:pStyle w:val="12"/>
        <w:spacing w:line="500" w:lineRule="exact"/>
        <w:outlineLvl w:val="2"/>
        <w:rPr>
          <w:rFonts w:hAnsi="宋体" w:cs="宋体"/>
          <w:color w:val="auto"/>
          <w:sz w:val="24"/>
          <w:szCs w:val="24"/>
          <w:highlight w:val="none"/>
        </w:rPr>
      </w:pPr>
      <w:bookmarkStart w:id="31" w:name="_Toc156106963"/>
      <w:bookmarkStart w:id="32" w:name="_Toc300676156"/>
      <w:bookmarkStart w:id="33" w:name="_Toc300675946"/>
      <w:r>
        <w:rPr>
          <w:rFonts w:hint="eastAsia" w:hAnsi="宋体" w:cs="宋体"/>
          <w:b/>
          <w:color w:val="auto"/>
          <w:sz w:val="24"/>
          <w:szCs w:val="24"/>
          <w:highlight w:val="none"/>
        </w:rPr>
        <w:t>32.签订合同</w:t>
      </w:r>
      <w:bookmarkEnd w:id="31"/>
      <w:bookmarkEnd w:id="32"/>
      <w:bookmarkEnd w:id="33"/>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32.1成交供应商在收到成交通知书后，按成交通知书中规定的时间、地点与采购人签订合同。</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32.2如成交供应商不按成交通知书的规定签订合同，则按成交供应商违约处理，采购代理机构对成交供应商竞标的全部竞标保证金将不予退还，同时还应对采购人承担违约责任。</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32.3合同签订必须按《中华人民共和国政府采购法》、《政府采购非招标采购方式管理办法》和《中华人民共和国合同法》，否则由此造成的后果由采购人负责。</w:t>
      </w:r>
    </w:p>
    <w:p>
      <w:pPr>
        <w:pStyle w:val="12"/>
        <w:spacing w:line="500" w:lineRule="exact"/>
        <w:ind w:left="6" w:firstLine="439"/>
        <w:rPr>
          <w:rFonts w:hAnsi="宋体" w:cs="宋体"/>
          <w:color w:val="auto"/>
          <w:sz w:val="24"/>
          <w:szCs w:val="24"/>
          <w:highlight w:val="none"/>
        </w:rPr>
      </w:pPr>
      <w:bookmarkStart w:id="34" w:name="_Toc205632338"/>
      <w:bookmarkStart w:id="35" w:name="_Toc290489558"/>
      <w:bookmarkStart w:id="36" w:name="_Toc290489636"/>
      <w:r>
        <w:rPr>
          <w:rFonts w:hint="eastAsia" w:hAnsi="宋体" w:cs="宋体"/>
          <w:color w:val="auto"/>
          <w:sz w:val="24"/>
          <w:szCs w:val="24"/>
          <w:highlight w:val="none"/>
        </w:rPr>
        <w:t>32.4成交供应商因不可抗力或者自身原因不能履行采购合同的，</w:t>
      </w:r>
      <w:bookmarkEnd w:id="34"/>
      <w:r>
        <w:rPr>
          <w:rFonts w:hint="eastAsia" w:hAnsi="宋体" w:cs="宋体"/>
          <w:color w:val="auto"/>
          <w:sz w:val="24"/>
          <w:szCs w:val="24"/>
          <w:highlight w:val="none"/>
        </w:rPr>
        <w:t>采购单位可以从合格的成交候选人中另行确定成交供应商，没有合格的成交候选人的，重新开展采购活动。《政府采购法实施条例》第四十九条中标或者成交供应商拒绝与采购人签订合同的，采购人可以按照评审报告推荐的中标或者成交候选人名单排序，确定下一候选人为中标或者成交供应商，也可以重新开展政府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bookmarkEnd w:id="35"/>
      <w:bookmarkEnd w:id="36"/>
    </w:p>
    <w:p>
      <w:pPr>
        <w:pStyle w:val="12"/>
        <w:spacing w:line="500" w:lineRule="exact"/>
        <w:outlineLvl w:val="2"/>
        <w:rPr>
          <w:rFonts w:hAnsi="宋体" w:cs="宋体"/>
          <w:b/>
          <w:color w:val="auto"/>
          <w:sz w:val="24"/>
          <w:szCs w:val="24"/>
          <w:highlight w:val="none"/>
        </w:rPr>
      </w:pPr>
      <w:bookmarkStart w:id="37" w:name="_Toc108835671"/>
      <w:bookmarkStart w:id="38" w:name="_Toc11381"/>
      <w:bookmarkStart w:id="39" w:name="_Toc108836082"/>
      <w:bookmarkStart w:id="40" w:name="_Toc199728731"/>
      <w:bookmarkStart w:id="41" w:name="_Toc156106965"/>
      <w:bookmarkStart w:id="42" w:name="_Toc300676158"/>
      <w:bookmarkStart w:id="43" w:name="_Toc300675948"/>
      <w:r>
        <w:rPr>
          <w:rFonts w:hint="eastAsia" w:hAnsi="宋体" w:cs="宋体"/>
          <w:b/>
          <w:color w:val="auto"/>
          <w:sz w:val="24"/>
          <w:szCs w:val="24"/>
          <w:highlight w:val="none"/>
        </w:rPr>
        <w:t>33.履约保证金</w:t>
      </w:r>
      <w:bookmarkEnd w:id="37"/>
      <w:bookmarkEnd w:id="38"/>
      <w:bookmarkEnd w:id="39"/>
      <w:bookmarkEnd w:id="40"/>
      <w:r>
        <w:rPr>
          <w:rFonts w:hint="eastAsia" w:hAnsi="宋体" w:cs="宋体"/>
          <w:b/>
          <w:color w:val="auto"/>
          <w:sz w:val="24"/>
          <w:szCs w:val="24"/>
          <w:highlight w:val="none"/>
        </w:rPr>
        <w:t xml:space="preserve"> </w:t>
      </w:r>
    </w:p>
    <w:p>
      <w:pPr>
        <w:pStyle w:val="12"/>
        <w:spacing w:line="500" w:lineRule="exact"/>
        <w:ind w:left="6" w:firstLine="439"/>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33.1履约担保的金额：</w:t>
      </w:r>
      <w:r>
        <w:rPr>
          <w:rFonts w:hint="eastAsia" w:hAnsi="宋体" w:cs="宋体"/>
          <w:color w:val="auto"/>
          <w:sz w:val="24"/>
          <w:szCs w:val="24"/>
          <w:highlight w:val="none"/>
          <w:lang w:val="en-US" w:eastAsia="zh-CN"/>
        </w:rPr>
        <w:t>/</w:t>
      </w:r>
    </w:p>
    <w:p>
      <w:pPr>
        <w:pStyle w:val="12"/>
        <w:spacing w:line="500" w:lineRule="exact"/>
        <w:ind w:left="6" w:firstLine="439"/>
        <w:rPr>
          <w:rFonts w:hAnsi="宋体" w:cs="宋体"/>
          <w:color w:val="auto"/>
          <w:sz w:val="24"/>
          <w:szCs w:val="24"/>
          <w:highlight w:val="none"/>
        </w:rPr>
      </w:pPr>
    </w:p>
    <w:p>
      <w:pPr>
        <w:pStyle w:val="12"/>
        <w:spacing w:line="420" w:lineRule="exact"/>
        <w:ind w:firstLine="3869" w:firstLineChars="1606"/>
        <w:outlineLvl w:val="1"/>
        <w:rPr>
          <w:rFonts w:hAnsi="宋体" w:cs="宋体"/>
          <w:b/>
          <w:bCs/>
          <w:color w:val="auto"/>
          <w:sz w:val="24"/>
          <w:szCs w:val="24"/>
          <w:highlight w:val="none"/>
        </w:rPr>
      </w:pPr>
      <w:r>
        <w:rPr>
          <w:rFonts w:hint="eastAsia" w:hAnsi="宋体" w:cs="宋体"/>
          <w:b/>
          <w:bCs/>
          <w:color w:val="auto"/>
          <w:sz w:val="24"/>
          <w:szCs w:val="24"/>
          <w:highlight w:val="none"/>
        </w:rPr>
        <w:t>八、其他事项</w:t>
      </w:r>
      <w:bookmarkEnd w:id="41"/>
      <w:bookmarkEnd w:id="42"/>
      <w:bookmarkEnd w:id="43"/>
    </w:p>
    <w:p>
      <w:pPr>
        <w:pStyle w:val="12"/>
        <w:spacing w:line="420" w:lineRule="exact"/>
        <w:outlineLvl w:val="2"/>
        <w:rPr>
          <w:rFonts w:hint="eastAsia" w:hAnsi="宋体" w:cs="宋体"/>
          <w:b/>
          <w:color w:val="auto"/>
          <w:sz w:val="24"/>
          <w:szCs w:val="24"/>
          <w:highlight w:val="none"/>
        </w:rPr>
      </w:pPr>
      <w:bookmarkStart w:id="44" w:name="_Toc295666183"/>
      <w:bookmarkStart w:id="45" w:name="_Toc295666041"/>
      <w:bookmarkStart w:id="46" w:name="_Toc156106966"/>
      <w:r>
        <w:rPr>
          <w:rFonts w:hint="eastAsia" w:hAnsi="宋体" w:cs="宋体"/>
          <w:b/>
          <w:bCs/>
          <w:color w:val="auto"/>
          <w:sz w:val="24"/>
          <w:szCs w:val="24"/>
          <w:highlight w:val="none"/>
        </w:rPr>
        <w:t>34.成交服务费</w:t>
      </w:r>
      <w:bookmarkEnd w:id="44"/>
      <w:bookmarkEnd w:id="45"/>
      <w:bookmarkEnd w:id="46"/>
      <w:r>
        <w:rPr>
          <w:rFonts w:hint="eastAsia" w:hAnsi="宋体" w:cs="宋体"/>
          <w:b/>
          <w:bCs/>
          <w:color w:val="auto"/>
          <w:sz w:val="24"/>
          <w:szCs w:val="24"/>
          <w:highlight w:val="none"/>
          <w:lang w:eastAsia="zh-CN"/>
        </w:rPr>
        <w:t>：</w:t>
      </w:r>
      <w:bookmarkStart w:id="47" w:name="_Toc156106967"/>
      <w:bookmarkStart w:id="48" w:name="_Toc295666043"/>
      <w:bookmarkStart w:id="49" w:name="_Toc295666185"/>
      <w:r>
        <w:rPr>
          <w:rFonts w:hint="eastAsia" w:hAnsi="宋体" w:cs="宋体"/>
          <w:color w:val="auto"/>
          <w:sz w:val="24"/>
          <w:szCs w:val="24"/>
          <w:highlight w:val="none"/>
          <w:lang w:val="en-US" w:eastAsia="zh-CN"/>
        </w:rPr>
        <w:t>无。</w:t>
      </w:r>
    </w:p>
    <w:p>
      <w:pPr>
        <w:pStyle w:val="12"/>
        <w:spacing w:line="420" w:lineRule="exact"/>
        <w:outlineLvl w:val="2"/>
        <w:rPr>
          <w:rFonts w:hAnsi="宋体" w:cs="宋体"/>
          <w:b/>
          <w:color w:val="auto"/>
          <w:sz w:val="24"/>
          <w:szCs w:val="24"/>
          <w:highlight w:val="none"/>
        </w:rPr>
      </w:pPr>
      <w:r>
        <w:rPr>
          <w:rFonts w:hint="eastAsia" w:hAnsi="宋体" w:cs="宋体"/>
          <w:b/>
          <w:color w:val="auto"/>
          <w:sz w:val="24"/>
          <w:szCs w:val="24"/>
          <w:highlight w:val="none"/>
        </w:rPr>
        <w:t>35.解释权</w:t>
      </w:r>
      <w:bookmarkEnd w:id="47"/>
      <w:bookmarkEnd w:id="48"/>
      <w:bookmarkEnd w:id="49"/>
    </w:p>
    <w:p>
      <w:pPr>
        <w:pStyle w:val="12"/>
        <w:spacing w:line="420" w:lineRule="exact"/>
        <w:ind w:firstLine="420"/>
        <w:rPr>
          <w:rFonts w:hAnsi="宋体" w:cs="宋体"/>
          <w:color w:val="auto"/>
          <w:sz w:val="24"/>
          <w:szCs w:val="24"/>
          <w:highlight w:val="none"/>
        </w:rPr>
      </w:pPr>
      <w:r>
        <w:rPr>
          <w:rFonts w:hint="eastAsia" w:hAnsi="宋体" w:cs="宋体"/>
          <w:color w:val="auto"/>
          <w:sz w:val="24"/>
          <w:szCs w:val="24"/>
          <w:highlight w:val="none"/>
        </w:rPr>
        <w:t>35.1本谈判采购文件是根据国家有关法律、法规以及政府采购管理有关规定和参照国际惯例编制，解释权属本采购代理机构。</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36. 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36.1 有下列情形之一的，应予以重新采购：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⑴竞标截止时间止，供应商不足3家的。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⑵符合专业条件的供应商或者对竞争性谈判文件作实质响应的供应商不足三家的；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⑶出现影响采购公正的违法、违规行为的；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⑷因重大变故，采购任务取消的。</w:t>
      </w:r>
    </w:p>
    <w:p>
      <w:pPr>
        <w:keepNext/>
        <w:numPr>
          <w:ilvl w:val="0"/>
          <w:numId w:val="2"/>
        </w:numPr>
        <w:spacing w:line="4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rPr>
        <w:t>货物需求一览表</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说明：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1.本一览表的货物品牌型号、技术参数及其性能（配置）仅起参考作用，供应商可选用其它品牌型号替代，但这些替代的品牌型号要实质上相当于或优于参考品牌型号及其技术参数性能（配置）要求；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 xml:space="preserve">2.本一览表中参考品牌型号规格及技术参数不明确或有误的，或供应商选用其它品牌型号替代的，请以详细、正确的品牌型号、技术参数（配置）同时填写竞标报价明细表和技术规格响应表。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3.根据《财政部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w:t>
      </w:r>
      <w:r>
        <w:rPr>
          <w:rFonts w:hint="eastAsia" w:ascii="宋体" w:hAnsi="宋体" w:eastAsia="宋体" w:cs="宋体"/>
          <w:b/>
          <w:bCs/>
          <w:color w:val="auto"/>
          <w:sz w:val="24"/>
          <w:szCs w:val="24"/>
          <w:highlight w:val="none"/>
          <w:lang w:eastAsia="zh-CN" w:bidi="ar"/>
        </w:rPr>
        <w:t>六</w:t>
      </w:r>
      <w:r>
        <w:rPr>
          <w:rFonts w:hint="eastAsia" w:ascii="宋体" w:hAnsi="宋体" w:eastAsia="宋体" w:cs="宋体"/>
          <w:b/>
          <w:bCs/>
          <w:color w:val="auto"/>
          <w:sz w:val="24"/>
          <w:szCs w:val="24"/>
          <w:highlight w:val="none"/>
          <w:lang w:bidi="ar"/>
        </w:rPr>
        <w:t>章 评审程序和评定成交的标准”。</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4.凡在“技术参数及性能（配置）要求”中表述为“标配”或“标准配置”的货物，供应商应在竞标报价明细表中将其标配参数详细列明。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5.打“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bidi="ar"/>
        </w:rPr>
        <w:t>”项为重要货物技术参数、性能（配置）及要求，供应商的竞标产品必须满足或优于该参数配置要求，否则竞标无效</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z w:val="24"/>
          <w:szCs w:val="24"/>
          <w:highlight w:val="none"/>
          <w:lang w:val="en-US" w:eastAsia="zh-CN" w:bidi="ar"/>
        </w:rPr>
        <w:t>未打“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”项大于三项为负偏离的，亦视为</w:t>
      </w:r>
      <w:r>
        <w:rPr>
          <w:rFonts w:hint="eastAsia" w:ascii="宋体" w:hAnsi="宋体" w:eastAsia="宋体" w:cs="宋体"/>
          <w:b/>
          <w:bCs/>
          <w:color w:val="auto"/>
          <w:sz w:val="24"/>
          <w:szCs w:val="24"/>
          <w:highlight w:val="none"/>
          <w:lang w:bidi="ar"/>
        </w:rPr>
        <w:t xml:space="preserve">竞标无效。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6. 根据《国务院办公厅关于建立政府强制采购节能产品制度的通知》（国办发〔2007〕51 号）和财政部、国家发展改革委发布的《节能产品政府采购实施意见》（财库〔2004〕185 号）的规定，采购需求中凡列入国家财政部在中国政府采购网上公布的最新一期节能（以招标公告发布日期为准）产品政府采购清单的产品，供应商竞标时必须于响应文件中提供所投产品属于强制采购节能产品清单的证明。</w:t>
      </w:r>
    </w:p>
    <w:p>
      <w:pPr>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7.中小企业划分标准所属行业名称：工业。</w:t>
      </w:r>
    </w:p>
    <w:p>
      <w:pPr>
        <w:pStyle w:val="18"/>
        <w:spacing w:before="0" w:after="0" w:line="23" w:lineRule="atLeast"/>
        <w:ind w:firstLine="441" w:firstLineChars="183"/>
        <w:rPr>
          <w:rFonts w:hint="eastAsia" w:hAnsi="宋体" w:cs="宋体"/>
          <w:b/>
          <w:color w:val="auto"/>
          <w:szCs w:val="24"/>
          <w:highlight w:val="none"/>
        </w:rPr>
      </w:pPr>
      <w:r>
        <w:rPr>
          <w:rFonts w:hint="eastAsia" w:hAnsi="宋体" w:cs="宋体"/>
          <w:b/>
          <w:color w:val="auto"/>
          <w:szCs w:val="24"/>
          <w:highlight w:val="none"/>
        </w:rPr>
        <w:t>本一览表中的规格要求不明确或有误的，请以详细、正确的规格要求同时填写竞标报价表和规格偏离表。</w:t>
      </w:r>
    </w:p>
    <w:tbl>
      <w:tblPr>
        <w:tblStyle w:val="21"/>
        <w:tblpPr w:leftFromText="180" w:rightFromText="180" w:vertAnchor="text" w:horzAnchor="page" w:tblpX="853" w:tblpY="569"/>
        <w:tblOverlap w:val="never"/>
        <w:tblW w:w="10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60"/>
        <w:gridCol w:w="750"/>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序号</w:t>
            </w:r>
          </w:p>
        </w:tc>
        <w:tc>
          <w:tcPr>
            <w:tcW w:w="1260" w:type="dxa"/>
            <w:shd w:val="clear" w:color="auto" w:fill="auto"/>
            <w:noWrap w:val="0"/>
            <w:vAlign w:val="center"/>
          </w:tcPr>
          <w:p>
            <w:pPr>
              <w:jc w:val="center"/>
              <w:rPr>
                <w:rFonts w:hint="eastAsia" w:ascii="Calibri" w:hAnsi="Calibri"/>
                <w:color w:val="000000"/>
                <w:szCs w:val="21"/>
                <w:highlight w:val="none"/>
              </w:rPr>
            </w:pPr>
            <w:r>
              <w:rPr>
                <w:rFonts w:hint="eastAsia" w:ascii="Calibri" w:hAnsi="Calibri"/>
                <w:color w:val="000000"/>
                <w:szCs w:val="21"/>
                <w:highlight w:val="none"/>
              </w:rPr>
              <w:t>货物名称</w:t>
            </w:r>
          </w:p>
        </w:tc>
        <w:tc>
          <w:tcPr>
            <w:tcW w:w="750" w:type="dxa"/>
            <w:shd w:val="clear" w:color="auto" w:fill="auto"/>
            <w:noWrap w:val="0"/>
            <w:vAlign w:val="center"/>
          </w:tcPr>
          <w:p>
            <w:pPr>
              <w:jc w:val="center"/>
              <w:rPr>
                <w:rFonts w:hint="eastAsia" w:ascii="Calibri" w:hAnsi="Calibri" w:eastAsia="宋体"/>
                <w:color w:val="000000"/>
                <w:szCs w:val="21"/>
                <w:highlight w:val="none"/>
                <w:lang w:val="en-US" w:eastAsia="zh-CN"/>
              </w:rPr>
            </w:pPr>
            <w:r>
              <w:rPr>
                <w:rFonts w:hint="eastAsia" w:ascii="Calibri" w:hAnsi="Calibri"/>
                <w:color w:val="000000"/>
                <w:szCs w:val="21"/>
                <w:highlight w:val="none"/>
                <w:lang w:val="en-US" w:eastAsia="zh-CN"/>
              </w:rPr>
              <w:t>数量</w:t>
            </w:r>
          </w:p>
        </w:tc>
        <w:tc>
          <w:tcPr>
            <w:tcW w:w="7642" w:type="dxa"/>
            <w:shd w:val="clear" w:color="auto" w:fill="auto"/>
            <w:noWrap w:val="0"/>
            <w:vAlign w:val="center"/>
          </w:tcPr>
          <w:p>
            <w:pPr>
              <w:jc w:val="center"/>
              <w:rPr>
                <w:rFonts w:ascii="宋体" w:hAnsi="宋体" w:cs="宋体"/>
                <w:color w:val="000000"/>
                <w:szCs w:val="21"/>
                <w:highlight w:val="yellow"/>
              </w:rPr>
            </w:pPr>
            <w:r>
              <w:rPr>
                <w:rFonts w:hint="eastAsia" w:ascii="宋体" w:hAnsi="宋体" w:cs="宋体"/>
                <w:color w:val="000000"/>
                <w:szCs w:val="21"/>
                <w:highlight w:val="none"/>
              </w:rPr>
              <w:t>技术参</w:t>
            </w:r>
            <w:r>
              <w:rPr>
                <w:rFonts w:hint="eastAsia" w:ascii="宋体" w:hAnsi="宋体" w:cs="宋体"/>
                <w:color w:val="000000"/>
                <w:szCs w:val="21"/>
                <w:highlight w:val="none"/>
                <w:shd w:val="clear"/>
              </w:rPr>
              <w:t>数及性能配置要</w:t>
            </w:r>
            <w:r>
              <w:rPr>
                <w:rFonts w:hint="eastAsia" w:ascii="宋体" w:hAnsi="宋体" w:cs="宋体"/>
                <w:color w:val="000000"/>
                <w:szCs w:val="21"/>
                <w:highlight w:val="none"/>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4" w:hRule="atLeast"/>
        </w:trPr>
        <w:tc>
          <w:tcPr>
            <w:tcW w:w="780" w:type="dxa"/>
            <w:noWrap w:val="0"/>
            <w:vAlign w:val="center"/>
          </w:tcPr>
          <w:p>
            <w:pPr>
              <w:jc w:val="center"/>
              <w:rPr>
                <w:rFonts w:ascii="Calibri" w:hAnsi="Calibri"/>
                <w:color w:val="000000"/>
                <w:szCs w:val="21"/>
                <w:highlight w:val="none"/>
              </w:rPr>
            </w:pPr>
            <w:r>
              <w:rPr>
                <w:rFonts w:hint="eastAsia" w:ascii="Calibri" w:hAnsi="Calibri"/>
                <w:color w:val="000000"/>
                <w:szCs w:val="21"/>
                <w:highlight w:val="none"/>
              </w:rPr>
              <w:t>1</w:t>
            </w:r>
          </w:p>
        </w:tc>
        <w:tc>
          <w:tcPr>
            <w:tcW w:w="1260" w:type="dxa"/>
            <w:noWrap w:val="0"/>
            <w:vAlign w:val="center"/>
          </w:tcPr>
          <w:p>
            <w:pPr>
              <w:jc w:val="center"/>
              <w:rPr>
                <w:rFonts w:hint="eastAsia" w:ascii="Calibri" w:hAnsi="Calibri"/>
                <w:color w:val="000000"/>
                <w:szCs w:val="21"/>
                <w:highlight w:val="none"/>
                <w:lang w:val="en-US" w:eastAsia="zh-CN"/>
              </w:rPr>
            </w:pPr>
            <w:r>
              <w:rPr>
                <w:rFonts w:ascii="Segoe UI Emoji" w:hAnsi="Segoe UI Emoji" w:eastAsia="Segoe UI Emoji" w:cs="Segoe UI Emoji"/>
                <w:i w:val="0"/>
                <w:iCs w:val="0"/>
                <w:caps w:val="0"/>
                <w:color w:val="1F2329"/>
                <w:spacing w:val="0"/>
                <w:sz w:val="24"/>
                <w:szCs w:val="24"/>
                <w:highlight w:val="none"/>
                <w:shd w:val="clear" w:color="auto" w:fill="auto"/>
              </w:rPr>
              <w:t>射频控温热凝器</w:t>
            </w:r>
          </w:p>
        </w:tc>
        <w:tc>
          <w:tcPr>
            <w:tcW w:w="750" w:type="dxa"/>
            <w:noWrap w:val="0"/>
            <w:vAlign w:val="center"/>
          </w:tcPr>
          <w:p>
            <w:pPr>
              <w:jc w:val="center"/>
              <w:rPr>
                <w:rFonts w:hint="default" w:ascii="Calibri" w:hAnsi="Calibri" w:eastAsia="宋体"/>
                <w:color w:val="000000"/>
                <w:szCs w:val="21"/>
                <w:highlight w:val="none"/>
                <w:lang w:val="en-US" w:eastAsia="zh-CN"/>
              </w:rPr>
            </w:pPr>
            <w:r>
              <w:rPr>
                <w:rFonts w:hint="eastAsia" w:ascii="Calibri" w:hAnsi="Calibri"/>
                <w:color w:val="000000"/>
                <w:szCs w:val="21"/>
                <w:highlight w:val="none"/>
                <w:shd w:val="clear"/>
                <w:lang w:val="en-US" w:eastAsia="zh-CN"/>
              </w:rPr>
              <w:t>1套</w:t>
            </w:r>
          </w:p>
        </w:tc>
        <w:tc>
          <w:tcPr>
            <w:tcW w:w="7642" w:type="dxa"/>
            <w:noWrap w:val="0"/>
            <w:vAlign w:val="top"/>
          </w:tcPr>
          <w:p>
            <w:pPr>
              <w:snapToGrid w:val="0"/>
              <w:spacing w:line="360" w:lineRule="auto"/>
              <w:rPr>
                <w:rFonts w:hint="eastAsia" w:ascii="Segoe UI Emoji" w:hAnsi="Segoe UI Emoji" w:eastAsia="宋体" w:cs="Segoe UI Emoji"/>
                <w:i w:val="0"/>
                <w:iCs w:val="0"/>
                <w:caps w:val="0"/>
                <w:color w:val="1F2329"/>
                <w:spacing w:val="0"/>
                <w:sz w:val="24"/>
                <w:szCs w:val="24"/>
                <w:shd w:val="clear" w:color="auto" w:fill="auto"/>
                <w:lang w:val="en-US" w:eastAsia="zh-CN"/>
              </w:rPr>
            </w:pPr>
            <w:r>
              <w:rPr>
                <w:rFonts w:hint="eastAsia" w:ascii="宋体" w:hAnsi="宋体" w:cs="宋体"/>
                <w:kern w:val="0"/>
                <w:sz w:val="24"/>
                <w:szCs w:val="24"/>
                <w:lang w:val="en-US" w:eastAsia="zh-CN"/>
              </w:rPr>
              <w:t>（一）、</w:t>
            </w:r>
            <w:r>
              <w:rPr>
                <w:rFonts w:hint="eastAsia" w:ascii="宋体" w:hAnsi="宋体" w:eastAsia="宋体" w:cs="宋体"/>
                <w:kern w:val="0"/>
                <w:sz w:val="24"/>
                <w:szCs w:val="24"/>
              </w:rPr>
              <w:t>仪器基本要求：</w:t>
            </w:r>
            <w:r>
              <w:rPr>
                <w:rFonts w:ascii="Segoe UI Emoji" w:hAnsi="Segoe UI Emoji" w:eastAsia="Segoe UI Emoji" w:cs="Segoe UI Emoji"/>
                <w:i w:val="0"/>
                <w:iCs w:val="0"/>
                <w:caps w:val="0"/>
                <w:color w:val="1F2329"/>
                <w:spacing w:val="0"/>
                <w:sz w:val="24"/>
                <w:szCs w:val="24"/>
                <w:shd w:val="clear" w:color="auto" w:fill="auto"/>
              </w:rPr>
              <w:t>射频控温热凝器设备</w:t>
            </w:r>
          </w:p>
          <w:p>
            <w:pPr>
              <w:spacing w:line="360" w:lineRule="auto"/>
              <w:jc w:val="left"/>
              <w:rPr>
                <w:rFonts w:hint="eastAsia" w:ascii="宋体" w:hAnsi="宋体" w:cs="宋体"/>
                <w:b w:val="0"/>
                <w:bCs w:val="0"/>
                <w:sz w:val="24"/>
                <w:u w:val="none"/>
              </w:rPr>
            </w:pPr>
            <w:r>
              <w:rPr>
                <w:rFonts w:hint="eastAsia" w:ascii="宋体" w:hAnsi="宋体" w:eastAsia="宋体" w:cs="宋体"/>
                <w:sz w:val="21"/>
                <w:szCs w:val="21"/>
                <w:lang w:val="en-US" w:eastAsia="zh-CN"/>
              </w:rPr>
              <w:t>▲</w:t>
            </w:r>
            <w:r>
              <w:rPr>
                <w:rFonts w:hint="eastAsia" w:ascii="宋体" w:hAnsi="宋体" w:cs="宋体"/>
                <w:b w:val="0"/>
                <w:bCs w:val="0"/>
                <w:sz w:val="24"/>
                <w:u w:val="none"/>
                <w:lang w:val="en-US" w:eastAsia="zh-CN"/>
              </w:rPr>
              <w:t>1、</w:t>
            </w:r>
            <w:r>
              <w:rPr>
                <w:rFonts w:hint="eastAsia" w:ascii="宋体" w:hAnsi="宋体" w:cs="宋体"/>
                <w:b w:val="0"/>
                <w:bCs w:val="0"/>
                <w:sz w:val="24"/>
                <w:u w:val="none"/>
              </w:rPr>
              <w:t>适用范围：用于三叉神经痛的射频手术治疗、腰椎间盘突出症引起的疼痛的射频消融髓核成形术治疗</w:t>
            </w:r>
            <w:bookmarkStart w:id="147" w:name="_GoBack"/>
            <w:bookmarkEnd w:id="147"/>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2</w:t>
            </w:r>
            <w:r>
              <w:rPr>
                <w:rFonts w:hint="eastAsia" w:ascii="宋体" w:hAnsi="宋体" w:cs="宋体"/>
                <w:b w:val="0"/>
                <w:bCs w:val="0"/>
                <w:sz w:val="24"/>
                <w:u w:val="none"/>
              </w:rPr>
              <w:t>、电阻抗模式: 优于人体生物阻抗特性的</w:t>
            </w:r>
            <w:r>
              <w:rPr>
                <w:rFonts w:hint="eastAsia" w:ascii="宋体" w:hAnsi="宋体" w:cs="宋体"/>
                <w:b w:val="0"/>
                <w:bCs w:val="0"/>
                <w:sz w:val="24"/>
                <w:u w:val="none"/>
                <w:lang w:val="en-US" w:eastAsia="zh-CN"/>
              </w:rPr>
              <w:t>5</w:t>
            </w:r>
            <w:r>
              <w:rPr>
                <w:rFonts w:ascii="宋体" w:hAnsi="宋体" w:cs="宋体"/>
                <w:b w:val="0"/>
                <w:bCs w:val="0"/>
                <w:sz w:val="24"/>
                <w:u w:val="none"/>
              </w:rPr>
              <w:t>0</w:t>
            </w:r>
            <w:r>
              <w:rPr>
                <w:rFonts w:hint="eastAsia" w:ascii="宋体" w:hAnsi="宋体" w:cs="宋体"/>
                <w:b w:val="0"/>
                <w:bCs w:val="0"/>
                <w:sz w:val="24"/>
                <w:u w:val="none"/>
              </w:rPr>
              <w:t>-2999欧姆宽频数据显示范围；</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3</w:t>
            </w:r>
            <w:r>
              <w:rPr>
                <w:rFonts w:hint="eastAsia" w:ascii="宋体" w:hAnsi="宋体" w:cs="宋体"/>
                <w:b w:val="0"/>
                <w:bCs w:val="0"/>
                <w:sz w:val="24"/>
                <w:u w:val="none"/>
              </w:rPr>
              <w:t xml:space="preserve">、电刺激模式：具有恒定电流、恒定电压刺激功能； </w:t>
            </w:r>
          </w:p>
          <w:p>
            <w:pPr>
              <w:spacing w:line="360" w:lineRule="auto"/>
              <w:jc w:val="left"/>
              <w:rPr>
                <w:rFonts w:hint="eastAsia" w:ascii="宋体" w:hAnsi="宋体" w:cs="宋体"/>
                <w:b w:val="0"/>
                <w:bCs w:val="0"/>
                <w:color w:val="FF0000"/>
                <w:sz w:val="24"/>
                <w:u w:val="none"/>
              </w:rPr>
            </w:pPr>
            <w:r>
              <w:rPr>
                <w:rFonts w:hint="eastAsia" w:ascii="宋体" w:hAnsi="宋体" w:cs="宋体"/>
                <w:b w:val="0"/>
                <w:bCs w:val="0"/>
                <w:sz w:val="24"/>
                <w:u w:val="none"/>
                <w:lang w:val="en-US" w:eastAsia="zh-CN"/>
              </w:rPr>
              <w:t>3.1、</w:t>
            </w:r>
            <w:r>
              <w:rPr>
                <w:rFonts w:hint="eastAsia" w:ascii="宋体" w:hAnsi="宋体" w:cs="宋体"/>
                <w:b w:val="0"/>
                <w:bCs w:val="0"/>
                <w:i w:val="0"/>
                <w:iCs w:val="0"/>
                <w:sz w:val="24"/>
                <w:u w:val="none"/>
              </w:rPr>
              <w:t>电压刺激模式：电压刺激幅度：0.00-</w:t>
            </w:r>
            <w:r>
              <w:rPr>
                <w:rFonts w:hint="eastAsia" w:ascii="宋体" w:hAnsi="宋体" w:cs="宋体"/>
                <w:b w:val="0"/>
                <w:bCs w:val="0"/>
                <w:i w:val="0"/>
                <w:iCs w:val="0"/>
                <w:sz w:val="24"/>
                <w:u w:val="none"/>
                <w:lang w:val="en-US" w:eastAsia="zh-CN"/>
              </w:rPr>
              <w:t>10</w:t>
            </w:r>
            <w:r>
              <w:rPr>
                <w:rFonts w:hint="eastAsia" w:ascii="宋体" w:hAnsi="宋体" w:cs="宋体"/>
                <w:b w:val="0"/>
                <w:bCs w:val="0"/>
                <w:i w:val="0"/>
                <w:iCs w:val="0"/>
                <w:sz w:val="24"/>
                <w:u w:val="none"/>
              </w:rPr>
              <w:t>.0V</w:t>
            </w:r>
          </w:p>
          <w:p>
            <w:pPr>
              <w:spacing w:line="360" w:lineRule="auto"/>
              <w:jc w:val="left"/>
              <w:rPr>
                <w:rFonts w:hint="eastAsia" w:ascii="宋体" w:hAnsi="宋体" w:cs="宋体"/>
                <w:b w:val="0"/>
                <w:bCs w:val="0"/>
                <w:color w:val="FF0000"/>
                <w:sz w:val="24"/>
                <w:u w:val="none"/>
              </w:rPr>
            </w:pPr>
            <w:r>
              <w:rPr>
                <w:rFonts w:hint="eastAsia" w:ascii="宋体" w:hAnsi="宋体" w:cs="宋体"/>
                <w:b w:val="0"/>
                <w:bCs w:val="0"/>
                <w:sz w:val="24"/>
                <w:u w:val="none"/>
                <w:lang w:val="en-US" w:eastAsia="zh-CN"/>
              </w:rPr>
              <w:t>3.2、</w:t>
            </w:r>
            <w:r>
              <w:rPr>
                <w:rFonts w:hint="eastAsia" w:ascii="宋体" w:hAnsi="宋体" w:cs="宋体"/>
                <w:b w:val="0"/>
                <w:bCs w:val="0"/>
                <w:sz w:val="24"/>
                <w:u w:val="none"/>
              </w:rPr>
              <w:t>电流刺激模式：电流刺激幅度：</w:t>
            </w:r>
            <w:r>
              <w:rPr>
                <w:rFonts w:ascii="宋体" w:hAnsi="宋体" w:cs="宋体"/>
                <w:b w:val="0"/>
                <w:bCs w:val="0"/>
                <w:sz w:val="24"/>
                <w:u w:val="none"/>
              </w:rPr>
              <w:t>0</w:t>
            </w:r>
            <w:r>
              <w:rPr>
                <w:rFonts w:hint="eastAsia" w:ascii="宋体" w:hAnsi="宋体" w:cs="宋体"/>
                <w:b w:val="0"/>
                <w:bCs w:val="0"/>
                <w:sz w:val="24"/>
                <w:u w:val="none"/>
              </w:rPr>
              <w:t>.00</w:t>
            </w:r>
            <w:r>
              <w:rPr>
                <w:rFonts w:ascii="宋体" w:hAnsi="宋体" w:cs="宋体"/>
                <w:b w:val="0"/>
                <w:bCs w:val="0"/>
                <w:sz w:val="24"/>
                <w:u w:val="none"/>
              </w:rPr>
              <w:t>-10</w:t>
            </w:r>
            <w:r>
              <w:rPr>
                <w:rFonts w:hint="eastAsia" w:ascii="宋体" w:hAnsi="宋体" w:cs="宋体"/>
                <w:b w:val="0"/>
                <w:bCs w:val="0"/>
                <w:sz w:val="24"/>
                <w:u w:val="none"/>
              </w:rPr>
              <w:t>.00</w:t>
            </w:r>
            <w:r>
              <w:rPr>
                <w:rFonts w:ascii="宋体" w:hAnsi="宋体" w:cs="宋体"/>
                <w:b w:val="0"/>
                <w:bCs w:val="0"/>
                <w:sz w:val="24"/>
                <w:u w:val="none"/>
              </w:rPr>
              <w:t>mA</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4</w:t>
            </w:r>
            <w:r>
              <w:rPr>
                <w:rFonts w:hint="eastAsia" w:ascii="宋体" w:hAnsi="宋体" w:cs="宋体"/>
                <w:b w:val="0"/>
                <w:bCs w:val="0"/>
                <w:sz w:val="24"/>
                <w:u w:val="none"/>
              </w:rPr>
              <w:t>、射频治疗模式：具有单路应用、双极应用等功能模式</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4.1、</w:t>
            </w:r>
            <w:r>
              <w:rPr>
                <w:rFonts w:hint="eastAsia" w:ascii="宋体" w:hAnsi="宋体" w:cs="宋体"/>
                <w:b w:val="0"/>
                <w:bCs w:val="0"/>
                <w:sz w:val="24"/>
                <w:u w:val="none"/>
              </w:rPr>
              <w:t>双极模式下分别实时显示两个电极温度，并分别控制每个电极的温度，保证治疗的安全，可以同时治疗不同部位。</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4.2、</w:t>
            </w:r>
            <w:r>
              <w:rPr>
                <w:rFonts w:hint="eastAsia" w:ascii="宋体" w:hAnsi="宋体" w:cs="宋体"/>
                <w:b w:val="0"/>
                <w:bCs w:val="0"/>
                <w:sz w:val="24"/>
                <w:u w:val="none"/>
              </w:rPr>
              <w:t xml:space="preserve">连续射频模式：温度范围: 30℃-95℃； </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5</w:t>
            </w:r>
            <w:r>
              <w:rPr>
                <w:rFonts w:hint="eastAsia" w:ascii="宋体" w:hAnsi="宋体" w:cs="宋体"/>
                <w:b w:val="0"/>
                <w:bCs w:val="0"/>
                <w:sz w:val="24"/>
                <w:u w:val="none"/>
              </w:rPr>
              <w:t>、脉冲射频模式：</w:t>
            </w:r>
          </w:p>
          <w:p>
            <w:pPr>
              <w:spacing w:line="360" w:lineRule="auto"/>
              <w:jc w:val="left"/>
              <w:rPr>
                <w:rFonts w:hint="eastAsia" w:ascii="宋体" w:hAnsi="宋体" w:cs="宋体"/>
                <w:b w:val="0"/>
                <w:bCs w:val="0"/>
                <w:sz w:val="24"/>
                <w:u w:val="none"/>
              </w:rPr>
            </w:pPr>
            <w:r>
              <w:rPr>
                <w:rFonts w:hint="eastAsia" w:ascii="宋体" w:hAnsi="宋体" w:eastAsia="宋体" w:cs="宋体"/>
                <w:sz w:val="21"/>
                <w:szCs w:val="21"/>
                <w:lang w:val="en-US" w:eastAsia="zh-CN"/>
              </w:rPr>
              <w:t>▲</w:t>
            </w:r>
            <w:r>
              <w:rPr>
                <w:rFonts w:hint="eastAsia" w:ascii="宋体" w:hAnsi="宋体" w:cs="宋体"/>
                <w:b w:val="0"/>
                <w:bCs w:val="0"/>
                <w:sz w:val="24"/>
                <w:u w:val="none"/>
                <w:lang w:val="en-US" w:eastAsia="zh-CN"/>
              </w:rPr>
              <w:t>5.1、</w:t>
            </w:r>
            <w:r>
              <w:rPr>
                <w:rFonts w:hint="eastAsia" w:ascii="宋体" w:hAnsi="宋体" w:cs="宋体"/>
                <w:b w:val="0"/>
                <w:bCs w:val="0"/>
                <w:sz w:val="24"/>
                <w:u w:val="none"/>
              </w:rPr>
              <w:t>高温脉冲射频温度：30-95℃</w:t>
            </w:r>
          </w:p>
          <w:p>
            <w:pPr>
              <w:spacing w:line="360" w:lineRule="auto"/>
              <w:jc w:val="left"/>
              <w:rPr>
                <w:rFonts w:hint="default" w:ascii="宋体" w:hAnsi="宋体" w:eastAsia="宋体" w:cs="宋体"/>
                <w:b w:val="0"/>
                <w:bCs w:val="0"/>
                <w:sz w:val="24"/>
                <w:u w:val="none"/>
                <w:lang w:val="en-US" w:eastAsia="zh-CN"/>
              </w:rPr>
            </w:pPr>
            <w:r>
              <w:rPr>
                <w:rFonts w:hint="eastAsia" w:ascii="宋体" w:hAnsi="宋体" w:cs="宋体"/>
                <w:b w:val="0"/>
                <w:bCs w:val="0"/>
                <w:sz w:val="24"/>
                <w:u w:val="none"/>
                <w:lang w:val="en-US" w:eastAsia="zh-CN"/>
              </w:rPr>
              <w:t>5.2、</w:t>
            </w:r>
            <w:r>
              <w:rPr>
                <w:rFonts w:hint="eastAsia" w:ascii="宋体" w:hAnsi="宋体" w:cs="宋体"/>
                <w:b w:val="0"/>
                <w:bCs w:val="0"/>
                <w:sz w:val="24"/>
                <w:u w:val="none"/>
              </w:rPr>
              <w:t>高电压脉冲射频模式，脉冲射频最大电压幅度140V</w:t>
            </w:r>
            <w:r>
              <w:rPr>
                <w:rFonts w:hint="eastAsia" w:ascii="宋体" w:hAnsi="宋体" w:cs="宋体"/>
                <w:b w:val="0"/>
                <w:bCs w:val="0"/>
                <w:sz w:val="24"/>
                <w:u w:val="none"/>
                <w:lang w:val="en-US" w:eastAsia="zh-CN"/>
              </w:rPr>
              <w:t xml:space="preserve">   </w:t>
            </w:r>
          </w:p>
          <w:p>
            <w:pPr>
              <w:spacing w:line="360" w:lineRule="auto"/>
              <w:jc w:val="left"/>
              <w:rPr>
                <w:rFonts w:hint="eastAsia" w:ascii="宋体" w:hAnsi="宋体" w:cs="宋体"/>
                <w:b w:val="0"/>
                <w:bCs w:val="0"/>
                <w:sz w:val="24"/>
                <w:u w:val="none"/>
              </w:rPr>
            </w:pPr>
            <w:r>
              <w:rPr>
                <w:rFonts w:hint="eastAsia" w:ascii="宋体" w:hAnsi="宋体" w:eastAsia="宋体" w:cs="宋体"/>
                <w:sz w:val="21"/>
                <w:szCs w:val="21"/>
                <w:lang w:val="en-US" w:eastAsia="zh-CN"/>
              </w:rPr>
              <w:t>▲</w:t>
            </w:r>
            <w:r>
              <w:rPr>
                <w:rFonts w:hint="eastAsia" w:ascii="宋体" w:hAnsi="宋体" w:cs="宋体"/>
                <w:b w:val="0"/>
                <w:bCs w:val="0"/>
                <w:sz w:val="24"/>
                <w:u w:val="none"/>
                <w:lang w:val="en-US" w:eastAsia="zh-CN"/>
              </w:rPr>
              <w:t>5.3、</w:t>
            </w:r>
            <w:r>
              <w:rPr>
                <w:rFonts w:hint="eastAsia" w:ascii="宋体" w:hAnsi="宋体" w:cs="宋体"/>
                <w:b w:val="0"/>
                <w:bCs w:val="0"/>
                <w:sz w:val="24"/>
                <w:u w:val="none"/>
              </w:rPr>
              <w:t>脉宽脉冲射频模式：3-40ms</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6</w:t>
            </w:r>
            <w:r>
              <w:rPr>
                <w:rFonts w:hint="eastAsia" w:ascii="宋体" w:hAnsi="宋体" w:cs="宋体"/>
                <w:b w:val="0"/>
                <w:bCs w:val="0"/>
                <w:sz w:val="24"/>
                <w:u w:val="none"/>
              </w:rPr>
              <w:t>、电刺激定位脉冲频率范围1-200Hz,电脉冲宽度范围0</w:t>
            </w:r>
            <w:r>
              <w:rPr>
                <w:rFonts w:ascii="宋体" w:hAnsi="宋体" w:cs="宋体"/>
                <w:b w:val="0"/>
                <w:bCs w:val="0"/>
                <w:sz w:val="24"/>
                <w:u w:val="none"/>
              </w:rPr>
              <w:t>.05</w:t>
            </w:r>
            <w:r>
              <w:rPr>
                <w:rFonts w:hint="eastAsia" w:ascii="宋体" w:hAnsi="宋体" w:cs="宋体"/>
                <w:b w:val="0"/>
                <w:bCs w:val="0"/>
                <w:sz w:val="24"/>
                <w:u w:val="none"/>
              </w:rPr>
              <w:t>-3mS。</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7</w:t>
            </w:r>
            <w:r>
              <w:rPr>
                <w:rFonts w:hint="eastAsia" w:ascii="宋体" w:hAnsi="宋体" w:cs="宋体"/>
                <w:b w:val="0"/>
                <w:bCs w:val="0"/>
                <w:sz w:val="24"/>
                <w:u w:val="none"/>
              </w:rPr>
              <w:t>、测温范围：20℃-</w:t>
            </w:r>
            <w:r>
              <w:rPr>
                <w:rFonts w:ascii="宋体" w:hAnsi="宋体" w:cs="宋体"/>
                <w:b w:val="0"/>
                <w:bCs w:val="0"/>
                <w:sz w:val="24"/>
                <w:u w:val="none"/>
              </w:rPr>
              <w:t>99</w:t>
            </w:r>
            <w:r>
              <w:rPr>
                <w:rFonts w:hint="eastAsia" w:ascii="宋体" w:hAnsi="宋体" w:cs="宋体"/>
                <w:b w:val="0"/>
                <w:bCs w:val="0"/>
                <w:sz w:val="24"/>
                <w:u w:val="none"/>
              </w:rPr>
              <w:t>℃</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8.1</w:t>
            </w:r>
            <w:r>
              <w:rPr>
                <w:rFonts w:hint="eastAsia" w:ascii="宋体" w:hAnsi="宋体" w:cs="宋体"/>
                <w:b w:val="0"/>
                <w:bCs w:val="0"/>
                <w:sz w:val="24"/>
                <w:u w:val="none"/>
              </w:rPr>
              <w:t>、连续射频时间设定0-10min;</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8.2、</w:t>
            </w:r>
            <w:r>
              <w:rPr>
                <w:rFonts w:hint="eastAsia" w:ascii="宋体" w:hAnsi="宋体" w:cs="宋体"/>
                <w:b w:val="0"/>
                <w:bCs w:val="0"/>
                <w:sz w:val="24"/>
                <w:u w:val="none"/>
              </w:rPr>
              <w:t>脉冲射频时间设定0-30min</w:t>
            </w:r>
          </w:p>
          <w:p>
            <w:pPr>
              <w:spacing w:line="360" w:lineRule="auto"/>
              <w:jc w:val="left"/>
              <w:rPr>
                <w:rFonts w:hint="eastAsia" w:ascii="宋体" w:hAnsi="宋体" w:cs="宋体"/>
                <w:b w:val="0"/>
                <w:bCs w:val="0"/>
                <w:sz w:val="24"/>
                <w:u w:val="none"/>
              </w:rPr>
            </w:pPr>
            <w:r>
              <w:rPr>
                <w:rFonts w:hint="eastAsia" w:ascii="宋体" w:hAnsi="宋体" w:eastAsia="宋体" w:cs="宋体"/>
                <w:sz w:val="21"/>
                <w:szCs w:val="21"/>
                <w:lang w:val="en-US" w:eastAsia="zh-CN"/>
              </w:rPr>
              <w:t>▲</w:t>
            </w:r>
            <w:r>
              <w:rPr>
                <w:rFonts w:hint="eastAsia" w:ascii="宋体" w:hAnsi="宋体" w:cs="宋体"/>
                <w:b w:val="0"/>
                <w:bCs w:val="0"/>
                <w:sz w:val="24"/>
                <w:u w:val="none"/>
                <w:lang w:val="en-US" w:eastAsia="zh-CN"/>
              </w:rPr>
              <w:t>9</w:t>
            </w:r>
            <w:r>
              <w:rPr>
                <w:rFonts w:hint="eastAsia" w:ascii="宋体" w:hAnsi="宋体" w:cs="宋体"/>
                <w:b w:val="0"/>
                <w:bCs w:val="0"/>
                <w:sz w:val="24"/>
                <w:u w:val="none"/>
              </w:rPr>
              <w:t>、射频输出功率：50W</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10.1</w:t>
            </w:r>
            <w:r>
              <w:rPr>
                <w:rFonts w:hint="eastAsia" w:ascii="宋体" w:hAnsi="宋体" w:cs="宋体"/>
                <w:b w:val="0"/>
                <w:bCs w:val="0"/>
                <w:sz w:val="24"/>
                <w:u w:val="none"/>
              </w:rPr>
              <w:t>、连续射频工作模式：正常模式、阶段跳跃和功率模式</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10.2、</w:t>
            </w:r>
            <w:r>
              <w:rPr>
                <w:rFonts w:hint="eastAsia" w:ascii="宋体" w:hAnsi="宋体" w:cs="宋体"/>
                <w:b w:val="0"/>
                <w:bCs w:val="0"/>
                <w:sz w:val="24"/>
                <w:u w:val="none"/>
              </w:rPr>
              <w:t>脉冲射频工作：温度模式、电压模式和脉宽模式</w:t>
            </w:r>
          </w:p>
          <w:p>
            <w:pPr>
              <w:spacing w:line="360" w:lineRule="auto"/>
              <w:jc w:val="left"/>
              <w:rPr>
                <w:rFonts w:hint="default" w:ascii="宋体" w:hAnsi="宋体" w:eastAsia="宋体" w:cs="宋体"/>
                <w:b w:val="0"/>
                <w:bCs w:val="0"/>
                <w:sz w:val="24"/>
                <w:u w:val="none"/>
                <w:lang w:val="en-US" w:eastAsia="zh-CN"/>
              </w:rPr>
            </w:pPr>
            <w:r>
              <w:rPr>
                <w:rFonts w:hint="eastAsia" w:ascii="宋体" w:hAnsi="宋体" w:cs="宋体"/>
                <w:b w:val="0"/>
                <w:bCs w:val="0"/>
                <w:sz w:val="24"/>
                <w:u w:val="none"/>
              </w:rPr>
              <w:t>1</w:t>
            </w:r>
            <w:r>
              <w:rPr>
                <w:rFonts w:hint="eastAsia" w:ascii="宋体" w:hAnsi="宋体" w:cs="宋体"/>
                <w:b w:val="0"/>
                <w:bCs w:val="0"/>
                <w:sz w:val="24"/>
                <w:u w:val="none"/>
                <w:lang w:val="en-US" w:eastAsia="zh-CN"/>
              </w:rPr>
              <w:t>1</w:t>
            </w:r>
            <w:r>
              <w:rPr>
                <w:rFonts w:hint="eastAsia" w:ascii="宋体" w:hAnsi="宋体" w:cs="宋体"/>
                <w:b w:val="0"/>
                <w:bCs w:val="0"/>
                <w:sz w:val="24"/>
                <w:u w:val="none"/>
              </w:rPr>
              <w:t>、热凝工作频率：4</w:t>
            </w:r>
            <w:r>
              <w:rPr>
                <w:rFonts w:hint="eastAsia" w:ascii="宋体" w:hAnsi="宋体" w:cs="宋体"/>
                <w:b w:val="0"/>
                <w:bCs w:val="0"/>
                <w:sz w:val="24"/>
                <w:u w:val="none"/>
                <w:lang w:val="en-US" w:eastAsia="zh-CN"/>
              </w:rPr>
              <w:t>80</w:t>
            </w:r>
            <w:r>
              <w:rPr>
                <w:rFonts w:hint="eastAsia" w:ascii="宋体" w:hAnsi="宋体" w:cs="宋体"/>
                <w:b w:val="0"/>
                <w:bCs w:val="0"/>
                <w:sz w:val="24"/>
                <w:u w:val="none"/>
              </w:rPr>
              <w:t xml:space="preserve">KHZ±5KHZ </w:t>
            </w:r>
            <w:r>
              <w:rPr>
                <w:rFonts w:hint="eastAsia" w:ascii="宋体" w:hAnsi="宋体" w:cs="宋体"/>
                <w:b w:val="0"/>
                <w:bCs w:val="0"/>
                <w:sz w:val="24"/>
                <w:u w:val="none"/>
                <w:lang w:val="en-US" w:eastAsia="zh-CN"/>
              </w:rPr>
              <w:t xml:space="preserve">   </w:t>
            </w:r>
          </w:p>
          <w:p>
            <w:pPr>
              <w:spacing w:line="360" w:lineRule="auto"/>
              <w:jc w:val="left"/>
              <w:rPr>
                <w:rFonts w:hint="eastAsia" w:ascii="宋体" w:hAnsi="宋体" w:cs="宋体"/>
                <w:b w:val="0"/>
                <w:bCs w:val="0"/>
                <w:sz w:val="24"/>
                <w:u w:val="none"/>
                <w:lang w:eastAsia="zh-CN"/>
              </w:rPr>
            </w:pPr>
            <w:r>
              <w:rPr>
                <w:rFonts w:hint="eastAsia" w:ascii="宋体" w:hAnsi="宋体" w:cs="宋体"/>
                <w:b w:val="0"/>
                <w:bCs w:val="0"/>
                <w:sz w:val="24"/>
                <w:u w:val="none"/>
                <w:lang w:val="en-US" w:eastAsia="zh-CN"/>
              </w:rPr>
              <w:t>12</w:t>
            </w:r>
            <w:r>
              <w:rPr>
                <w:rFonts w:hint="eastAsia" w:ascii="宋体" w:hAnsi="宋体" w:cs="宋体"/>
                <w:b w:val="0"/>
                <w:bCs w:val="0"/>
                <w:sz w:val="24"/>
                <w:u w:val="none"/>
              </w:rPr>
              <w:t>、</w:t>
            </w:r>
            <w:r>
              <w:rPr>
                <w:rFonts w:hint="eastAsia" w:ascii="宋体" w:hAnsi="宋体" w:cs="宋体"/>
                <w:b w:val="0"/>
                <w:bCs w:val="0"/>
                <w:sz w:val="24"/>
                <w:u w:val="none"/>
                <w:lang w:val="en-US" w:eastAsia="zh-CN"/>
              </w:rPr>
              <w:t>具有</w:t>
            </w:r>
            <w:r>
              <w:rPr>
                <w:rFonts w:hint="eastAsia" w:ascii="宋体" w:hAnsi="宋体" w:cs="宋体"/>
                <w:b w:val="0"/>
                <w:bCs w:val="0"/>
                <w:sz w:val="24"/>
                <w:u w:val="none"/>
              </w:rPr>
              <w:t>≥</w:t>
            </w:r>
            <w:r>
              <w:rPr>
                <w:rFonts w:hint="eastAsia" w:ascii="宋体" w:hAnsi="宋体" w:cs="宋体"/>
                <w:b w:val="0"/>
                <w:bCs w:val="0"/>
                <w:sz w:val="24"/>
                <w:u w:val="none"/>
                <w:lang w:val="en-US" w:eastAsia="zh-CN"/>
              </w:rPr>
              <w:t>8</w:t>
            </w:r>
            <w:r>
              <w:rPr>
                <w:rFonts w:hint="eastAsia" w:ascii="宋体" w:hAnsi="宋体" w:cs="宋体"/>
                <w:b w:val="0"/>
                <w:bCs w:val="0"/>
                <w:sz w:val="24"/>
                <w:u w:val="none"/>
              </w:rPr>
              <w:t>寸全触摸屏操控，简便直观，界面简洁操作方便快捷</w:t>
            </w:r>
            <w:r>
              <w:rPr>
                <w:rFonts w:hint="eastAsia" w:ascii="宋体" w:hAnsi="宋体" w:cs="宋体"/>
                <w:b w:val="0"/>
                <w:bCs w:val="0"/>
                <w:sz w:val="24"/>
                <w:u w:val="none"/>
                <w:lang w:eastAsia="zh-CN"/>
              </w:rPr>
              <w:t>；</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13、</w:t>
            </w:r>
            <w:r>
              <w:rPr>
                <w:rFonts w:hint="eastAsia" w:ascii="宋体" w:hAnsi="宋体" w:cs="宋体"/>
                <w:b w:val="0"/>
                <w:bCs w:val="0"/>
                <w:sz w:val="24"/>
                <w:u w:val="none"/>
              </w:rPr>
              <w:t>负极片粘贴状态显示：能显示负极片粘贴是否良好。</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lang w:val="en-US" w:eastAsia="zh-CN"/>
              </w:rPr>
              <w:t>14、</w:t>
            </w:r>
            <w:r>
              <w:rPr>
                <w:rFonts w:hint="eastAsia" w:ascii="宋体" w:hAnsi="宋体" w:cs="宋体"/>
                <w:b w:val="0"/>
                <w:bCs w:val="0"/>
                <w:sz w:val="24"/>
                <w:u w:val="none"/>
              </w:rPr>
              <w:t xml:space="preserve">工作过程中温度可直接调节，无需停机。 </w:t>
            </w:r>
          </w:p>
          <w:p>
            <w:pPr>
              <w:spacing w:line="360" w:lineRule="auto"/>
              <w:jc w:val="left"/>
              <w:rPr>
                <w:rFonts w:hint="eastAsia" w:ascii="宋体" w:hAnsi="宋体" w:cs="宋体"/>
                <w:b w:val="0"/>
                <w:bCs w:val="0"/>
                <w:sz w:val="24"/>
                <w:u w:val="none"/>
              </w:rPr>
            </w:pPr>
            <w:r>
              <w:rPr>
                <w:rFonts w:hint="eastAsia" w:ascii="宋体" w:hAnsi="宋体" w:cs="宋体"/>
                <w:b w:val="0"/>
                <w:bCs w:val="0"/>
                <w:sz w:val="24"/>
                <w:u w:val="none"/>
              </w:rPr>
              <w:t>1</w:t>
            </w:r>
            <w:r>
              <w:rPr>
                <w:rFonts w:hint="eastAsia" w:ascii="宋体" w:hAnsi="宋体" w:cs="宋体"/>
                <w:b w:val="0"/>
                <w:bCs w:val="0"/>
                <w:sz w:val="24"/>
                <w:u w:val="none"/>
                <w:lang w:val="en-US" w:eastAsia="zh-CN"/>
              </w:rPr>
              <w:t>5</w:t>
            </w:r>
            <w:r>
              <w:rPr>
                <w:rFonts w:hint="eastAsia" w:ascii="宋体" w:hAnsi="宋体" w:cs="宋体"/>
                <w:b w:val="0"/>
                <w:bCs w:val="0"/>
                <w:sz w:val="24"/>
                <w:u w:val="none"/>
              </w:rPr>
              <w:t>、配备两种手术电极，可高温高压手术电极及一次性射频消融电极</w:t>
            </w:r>
          </w:p>
          <w:p>
            <w:pPr>
              <w:widowControl/>
              <w:spacing w:line="440" w:lineRule="exact"/>
              <w:textAlignment w:val="baseline"/>
              <w:rPr>
                <w:rFonts w:hint="eastAsia" w:eastAsia="宋体"/>
                <w:highlight w:val="yellow"/>
                <w:lang w:val="en-US" w:eastAsia="zh-CN"/>
              </w:rPr>
            </w:pPr>
            <w:r>
              <w:rPr>
                <w:rFonts w:hint="eastAsia" w:ascii="宋体" w:hAnsi="宋体" w:cs="宋体"/>
                <w:b w:val="0"/>
                <w:bCs w:val="0"/>
                <w:sz w:val="24"/>
                <w:u w:val="none"/>
                <w:lang w:val="en-US" w:eastAsia="zh-CN"/>
              </w:rPr>
              <w:t>16</w:t>
            </w:r>
            <w:r>
              <w:rPr>
                <w:rFonts w:hint="eastAsia" w:ascii="宋体" w:hAnsi="宋体" w:cs="宋体"/>
                <w:b w:val="0"/>
                <w:bCs w:val="0"/>
                <w:sz w:val="24"/>
                <w:u w:val="none"/>
              </w:rPr>
              <w:t>、</w:t>
            </w:r>
            <w:r>
              <w:rPr>
                <w:rFonts w:hint="eastAsia" w:ascii="宋体" w:hAnsi="宋体" w:cs="宋体"/>
                <w:b w:val="0"/>
                <w:bCs w:val="0"/>
                <w:sz w:val="24"/>
                <w:u w:val="none"/>
                <w:lang w:val="en-US" w:eastAsia="zh-CN"/>
              </w:rPr>
              <w:t>使用年限≥8年。</w:t>
            </w:r>
            <w:r>
              <w:rPr>
                <w:rFonts w:hint="eastAsia" w:ascii="宋体" w:hAnsi="宋体" w:cs="宋体"/>
                <w:b w:val="0"/>
                <w:bCs w:val="0"/>
                <w:sz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0432" w:type="dxa"/>
            <w:gridSpan w:val="4"/>
            <w:noWrap w:val="0"/>
            <w:vAlign w:val="center"/>
          </w:tcPr>
          <w:p>
            <w:pPr>
              <w:widowControl/>
              <w:spacing w:line="440" w:lineRule="exact"/>
              <w:textAlignment w:val="baseline"/>
              <w:rPr>
                <w:rFonts w:hint="eastAsia" w:ascii="宋体" w:hAnsi="宋体" w:eastAsia="微软雅黑" w:cs="Arial"/>
                <w:bCs/>
                <w:color w:val="000000"/>
                <w:sz w:val="24"/>
                <w:szCs w:val="24"/>
                <w:highlight w:val="yellow"/>
                <w:lang w:eastAsia="zh-CN"/>
              </w:rPr>
            </w:pPr>
            <w:r>
              <w:rPr>
                <w:rFonts w:hint="eastAsia" w:ascii="宋体" w:hAnsi="宋体" w:eastAsia="宋体" w:cs="Arial"/>
                <w:b/>
                <w:bCs w:val="0"/>
                <w:color w:val="000000"/>
                <w:sz w:val="24"/>
                <w:szCs w:val="24"/>
                <w:highlight w:val="none"/>
                <w:lang w:val="en-US" w:eastAsia="zh-CN"/>
              </w:rPr>
              <w:t>商务要求及售后服务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32" w:type="dxa"/>
            <w:gridSpan w:val="4"/>
            <w:noWrap w:val="0"/>
            <w:vAlign w:val="center"/>
          </w:tcPr>
          <w:p>
            <w:pPr>
              <w:widowControl/>
              <w:spacing w:line="44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商务要求</w:t>
            </w:r>
          </w:p>
          <w:p>
            <w:pPr>
              <w:widowControl/>
              <w:numPr>
                <w:ilvl w:val="0"/>
                <w:numId w:val="0"/>
              </w:numPr>
              <w:spacing w:line="440" w:lineRule="exact"/>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 xml:space="preserve">    （一）交货期限及地点:(1)交货期:自签订合同之日起30个工作日内交货并安装调试合格交付使用。</w:t>
            </w:r>
          </w:p>
          <w:p>
            <w:pPr>
              <w:widowControl/>
              <w:numPr>
                <w:ilvl w:val="0"/>
                <w:numId w:val="0"/>
              </w:numPr>
              <w:spacing w:line="440" w:lineRule="exact"/>
              <w:ind w:firstLine="480" w:firstLineChars="200"/>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(2)交货地点:隆林各族自治县中医医院。</w:t>
            </w:r>
          </w:p>
          <w:p>
            <w:pPr>
              <w:spacing w:after="0" w:line="420" w:lineRule="exact"/>
              <w:ind w:firstLine="480" w:firstLineChars="200"/>
              <w:jc w:val="both"/>
              <w:textAlignment w:val="baseline"/>
              <w:rPr>
                <w:rStyle w:val="45"/>
                <w:rFonts w:hint="eastAsia" w:ascii="宋体" w:hAnsi="宋体" w:eastAsia="宋体" w:cs="宋体"/>
                <w:b/>
                <w:bCs/>
                <w:color w:val="auto"/>
                <w:szCs w:val="21"/>
                <w:highlight w:val="none"/>
              </w:rPr>
            </w:pPr>
            <w:r>
              <w:rPr>
                <w:rFonts w:hint="eastAsia" w:ascii="宋体" w:hAnsi="宋体" w:eastAsia="宋体" w:cs="Arial"/>
                <w:bCs/>
                <w:color w:val="000000"/>
                <w:sz w:val="24"/>
                <w:szCs w:val="24"/>
                <w:highlight w:val="none"/>
                <w:lang w:val="en-US" w:eastAsia="zh-CN"/>
              </w:rPr>
              <w:t>（二）付款方式:</w:t>
            </w:r>
            <w:r>
              <w:rPr>
                <w:rStyle w:val="45"/>
                <w:rFonts w:hint="eastAsia" w:ascii="宋体" w:hAnsi="宋体" w:eastAsia="宋体" w:cs="宋体"/>
                <w:b/>
                <w:bCs/>
                <w:color w:val="auto"/>
                <w:szCs w:val="21"/>
                <w:highlight w:val="none"/>
              </w:rPr>
              <w:t>（</w:t>
            </w:r>
            <w:r>
              <w:rPr>
                <w:rStyle w:val="45"/>
                <w:rFonts w:hint="eastAsia" w:ascii="宋体" w:hAnsi="宋体" w:eastAsia="宋体" w:cs="宋体"/>
                <w:b/>
                <w:bCs/>
                <w:color w:val="auto"/>
                <w:szCs w:val="21"/>
                <w:highlight w:val="none"/>
                <w:lang w:val="en-US"/>
              </w:rPr>
              <w:t>1</w:t>
            </w:r>
            <w:r>
              <w:rPr>
                <w:rStyle w:val="45"/>
                <w:rFonts w:hint="eastAsia" w:ascii="宋体" w:hAnsi="宋体" w:eastAsia="宋体" w:cs="宋体"/>
                <w:b/>
                <w:bCs/>
                <w:color w:val="auto"/>
                <w:szCs w:val="21"/>
                <w:highlight w:val="none"/>
              </w:rPr>
              <w:t>）支付形式：采用银行转账方式，甲方（或相关付款责任方）将款项直接汇入乙方指定的合法有效银行账户（乙方需提前提供账户信息并确保真实性、有效性）。（</w:t>
            </w:r>
            <w:r>
              <w:rPr>
                <w:rStyle w:val="45"/>
                <w:rFonts w:hint="eastAsia" w:ascii="宋体" w:hAnsi="宋体" w:eastAsia="宋体" w:cs="宋体"/>
                <w:b/>
                <w:bCs/>
                <w:color w:val="auto"/>
                <w:szCs w:val="21"/>
                <w:highlight w:val="none"/>
                <w:lang w:val="en-US"/>
              </w:rPr>
              <w:t>2</w:t>
            </w:r>
            <w:r>
              <w:rPr>
                <w:rStyle w:val="45"/>
                <w:rFonts w:hint="eastAsia" w:ascii="宋体" w:hAnsi="宋体" w:eastAsia="宋体" w:cs="宋体"/>
                <w:b/>
                <w:bCs/>
                <w:color w:val="auto"/>
                <w:szCs w:val="21"/>
                <w:highlight w:val="none"/>
              </w:rPr>
              <w:t>）付款计划：因本项目资金由隆林各族自治县财政局统一拨付（资金来源为2025年中央补助广西医疗服务与保障能力提升专项资金），结合财政资金拨付常规流程，款项预计</w:t>
            </w:r>
            <w:r>
              <w:rPr>
                <w:rStyle w:val="45"/>
                <w:rFonts w:hint="eastAsia" w:ascii="宋体" w:hAnsi="宋体" w:eastAsia="宋体" w:cs="宋体"/>
                <w:b/>
                <w:bCs/>
                <w:color w:val="auto"/>
                <w:szCs w:val="21"/>
                <w:highlight w:val="none"/>
                <w:lang w:val="en-US"/>
              </w:rPr>
              <w:t>2026</w:t>
            </w:r>
            <w:r>
              <w:rPr>
                <w:rStyle w:val="45"/>
                <w:rFonts w:hint="eastAsia" w:ascii="宋体" w:hAnsi="宋体" w:eastAsia="宋体" w:cs="宋体"/>
                <w:b/>
                <w:bCs/>
                <w:color w:val="auto"/>
                <w:szCs w:val="21"/>
                <w:highlight w:val="none"/>
              </w:rPr>
              <w:t>年3-5月期间完成拨付，具体付款时间以隆林各族自治县财政局当年资金拨付进度及通知为准。</w:t>
            </w:r>
          </w:p>
          <w:p>
            <w:pPr>
              <w:widowControl/>
              <w:numPr>
                <w:ilvl w:val="0"/>
                <w:numId w:val="0"/>
              </w:numPr>
              <w:spacing w:line="440" w:lineRule="exact"/>
              <w:ind w:firstLine="480" w:firstLineChars="200"/>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（三）验收标准 1.投标人提供的产品必须符合国家、行业强制执行的相关质量标准要求以及产品制造厂家合格产品的出厂质量标准，2.设备需全新、完好、无破损，产品到货后，采购人现场根据招标文件要求及投标文件承诺逐条对应进行核验，必要时，采购人有权邀请国家质量监督检验部门或国家认可的检测机构参与共同验收。如产品不满足招标文件要求、中标人投标承诺或国家、行业强制执行验收标准的相关质量标准要求以及产品制造厂家合格产品的出厂质量标准，采购人有权终止合同执行并全部退货，由此造成采购人的经济损失由中标人承担全部赔偿责任。3.在交付设备时，中标人必须提供货物的相关资料（如：操作手册、使用指南、维修手册、安装调试说明书、服务手册等）及随车的工具器材，否则不予验收。</w:t>
            </w:r>
          </w:p>
          <w:p>
            <w:pPr>
              <w:widowControl/>
              <w:spacing w:line="44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售后服务</w:t>
            </w:r>
          </w:p>
          <w:p>
            <w:pPr>
              <w:widowControl/>
              <w:numPr>
                <w:ilvl w:val="0"/>
                <w:numId w:val="0"/>
              </w:numPr>
              <w:spacing w:line="360" w:lineRule="auto"/>
              <w:ind w:left="120" w:leftChars="0" w:firstLine="480" w:firstLineChars="200"/>
              <w:textAlignment w:val="baseline"/>
              <w:rPr>
                <w:rFonts w:hint="eastAsia" w:ascii="宋体" w:hAnsi="宋体" w:eastAsia="宋体" w:cs="宋体"/>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1、按照国家有关产品“三包"规定执行"三包"，设备质保≥3年。2、采购范围内的货物送货上门，装卸、安装调试合格，提供使用培训，直至采购人技术人员可熟练操作使用。3、在使用过程中若产品发生质量问题或故障，接到采购人报修通知后，立即响应并在0.5小时内采取相应措在收到采购人要求服务通知3小时内服务人员到达现场，对设备出现的较大问题，解决时间不超过3工作日。 4、免费保修期内免材料费及维修费,免费保修期外中标人须继续提供免费电话咨询服务，并以优惠的价格提有偿服务，终身维修。</w:t>
            </w:r>
            <w:r>
              <w:rPr>
                <w:rFonts w:hint="eastAsia" w:ascii="宋体" w:hAnsi="宋体" w:eastAsia="宋体" w:cs="宋体"/>
                <w:b w:val="0"/>
                <w:bCs w:val="0"/>
                <w:color w:val="00000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32" w:type="dxa"/>
            <w:gridSpan w:val="4"/>
            <w:noWrap w:val="0"/>
            <w:vAlign w:val="center"/>
          </w:tcPr>
          <w:p>
            <w:pPr>
              <w:widowControl/>
              <w:numPr>
                <w:ilvl w:val="0"/>
                <w:numId w:val="0"/>
              </w:numPr>
              <w:spacing w:line="360" w:lineRule="auto"/>
              <w:ind w:left="120" w:leftChars="0"/>
              <w:textAlignment w:val="baseline"/>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其它：</w:t>
            </w:r>
            <w:r>
              <w:rPr>
                <w:rFonts w:hint="eastAsia" w:ascii="宋体" w:hAnsi="宋体" w:eastAsia="宋体" w:cs="宋体"/>
                <w:b w:val="0"/>
                <w:bCs w:val="0"/>
                <w:color w:val="000000"/>
                <w:sz w:val="21"/>
                <w:szCs w:val="21"/>
                <w:highlight w:val="none"/>
              </w:rPr>
              <w:t>标注“</w:t>
            </w:r>
            <w:r>
              <w:rPr>
                <w:rFonts w:hint="eastAsia" w:ascii="宋体" w:hAnsi="宋体" w:eastAsia="宋体" w:cs="宋体"/>
                <w:b/>
                <w:bCs/>
                <w:color w:val="000000"/>
                <w:sz w:val="21"/>
                <w:szCs w:val="21"/>
                <w:highlight w:val="none"/>
              </w:rPr>
              <w:t>*</w:t>
            </w:r>
            <w:r>
              <w:rPr>
                <w:rFonts w:hint="eastAsia" w:ascii="宋体" w:hAnsi="宋体" w:eastAsia="宋体" w:cs="宋体"/>
                <w:b w:val="0"/>
                <w:bCs w:val="0"/>
                <w:color w:val="000000"/>
                <w:sz w:val="21"/>
                <w:szCs w:val="21"/>
                <w:highlight w:val="none"/>
              </w:rPr>
              <w:t>”的技术参数为重要技术条款，必须满足，否则视为竞标无效。标示“▲”符号的为重要参数。</w:t>
            </w:r>
          </w:p>
        </w:tc>
      </w:tr>
    </w:tbl>
    <w:p>
      <w:pPr>
        <w:keepNext/>
        <w:tabs>
          <w:tab w:val="left" w:pos="426"/>
        </w:tabs>
        <w:spacing w:line="360" w:lineRule="auto"/>
        <w:jc w:val="both"/>
        <w:rPr>
          <w:rFonts w:hint="eastAsia" w:ascii="宋体" w:hAnsi="宋体" w:eastAsia="宋体" w:cs="宋体"/>
          <w:b/>
          <w:color w:val="auto"/>
          <w:sz w:val="24"/>
          <w:szCs w:val="24"/>
          <w:highlight w:val="none"/>
        </w:rPr>
      </w:pPr>
    </w:p>
    <w:p>
      <w:pPr>
        <w:keepNext/>
        <w:tabs>
          <w:tab w:val="left" w:pos="426"/>
        </w:tabs>
        <w:spacing w:line="360" w:lineRule="auto"/>
        <w:jc w:val="both"/>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widowControl w:val="0"/>
        <w:adjustRightInd/>
        <w:snapToGrid/>
        <w:spacing w:after="0"/>
        <w:rPr>
          <w:rFonts w:ascii="Arial Unicode MS" w:hAnsi="Arial Unicode MS" w:eastAsia="Arial Unicode MS" w:cs="Arial Unicode MS"/>
          <w:color w:val="auto"/>
          <w:kern w:val="2"/>
          <w:sz w:val="32"/>
          <w:szCs w:val="32"/>
          <w:highlight w:val="none"/>
        </w:rPr>
      </w:pPr>
      <w:r>
        <w:rPr>
          <w:rFonts w:hint="eastAsia" w:ascii="黑体" w:hAnsi="黑体" w:eastAsia="黑体" w:cs="黑体"/>
          <w:color w:val="auto"/>
          <w:kern w:val="2"/>
          <w:sz w:val="32"/>
          <w:szCs w:val="32"/>
          <w:highlight w:val="none"/>
        </w:rPr>
        <w:t>附件一：</w:t>
      </w:r>
    </w:p>
    <w:p>
      <w:pPr>
        <w:widowControl w:val="0"/>
        <w:wordWrap w:val="0"/>
        <w:adjustRightInd/>
        <w:snapToGrid/>
        <w:spacing w:before="7" w:after="0"/>
        <w:jc w:val="both"/>
        <w:rPr>
          <w:rFonts w:ascii="Arial Unicode MS" w:hAnsi="Arial Unicode MS" w:eastAsia="Arial Unicode MS" w:cs="Arial Unicode MS"/>
          <w:color w:val="auto"/>
          <w:kern w:val="2"/>
          <w:sz w:val="17"/>
          <w:szCs w:val="17"/>
          <w:highlight w:val="none"/>
        </w:rPr>
      </w:pPr>
    </w:p>
    <w:p>
      <w:pPr>
        <w:widowControl w:val="0"/>
        <w:wordWrap w:val="0"/>
        <w:adjustRightInd/>
        <w:snapToGrid/>
        <w:spacing w:after="0"/>
        <w:jc w:val="center"/>
        <w:rPr>
          <w:rFonts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节能产品政府采购品目清单</w:t>
      </w: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r>
        <w:rPr>
          <w:rFonts w:ascii="Times New Roman" w:hAnsi="Times New Roman" w:eastAsia="宋体"/>
          <w:color w:val="auto"/>
          <w:kern w:val="2"/>
          <w:sz w:val="21"/>
          <w:szCs w:val="24"/>
          <w:highlight w:val="none"/>
        </w:rPr>
        <mc:AlternateContent>
          <mc:Choice Requires="wps">
            <w:drawing>
              <wp:anchor distT="0" distB="0" distL="114300" distR="114300" simplePos="0" relativeHeight="251663360"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w="12700">
                          <a:noFill/>
                        </a:ln>
                        <a:effectLst/>
                      </wps:spPr>
                      <wps:txbx>
                        <w:txbxContent>
                          <w:tbl>
                            <w:tblPr>
                              <w:tblStyle w:val="21"/>
                              <w:tblW w:w="9125" w:type="dxa"/>
                              <w:tblInd w:w="632" w:type="dxa"/>
                              <w:tblLayout w:type="fixed"/>
                              <w:tblCellMar>
                                <w:top w:w="0" w:type="dxa"/>
                                <w:left w:w="0" w:type="dxa"/>
                                <w:bottom w:w="0" w:type="dxa"/>
                                <w:right w:w="0" w:type="dxa"/>
                              </w:tblCellMar>
                            </w:tblPr>
                            <w:tblGrid>
                              <w:gridCol w:w="574"/>
                              <w:gridCol w:w="1166"/>
                              <w:gridCol w:w="1800"/>
                              <w:gridCol w:w="1823"/>
                              <w:gridCol w:w="3762"/>
                            </w:tblGrid>
                            <w:tr>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pPr>
                                    <w:pStyle w:val="54"/>
                                    <w:spacing w:before="4"/>
                                    <w:rPr>
                                      <w:rFonts w:ascii="宋体" w:hAnsi="宋体" w:cs="宋体"/>
                                      <w:sz w:val="16"/>
                                      <w:szCs w:val="16"/>
                                    </w:rPr>
                                  </w:pPr>
                                </w:p>
                                <w:p>
                                  <w:pPr>
                                    <w:pStyle w:val="54"/>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
                                    <w:rPr>
                                      <w:rFonts w:ascii="宋体" w:hAnsi="宋体" w:cs="宋体"/>
                                      <w:sz w:val="16"/>
                                      <w:szCs w:val="16"/>
                                    </w:rPr>
                                  </w:pPr>
                                </w:p>
                                <w:p>
                                  <w:pPr>
                                    <w:pStyle w:val="54"/>
                                    <w:ind w:left="926"/>
                                    <w:rPr>
                                      <w:rFonts w:ascii="宋体" w:hAnsi="宋体" w:cs="宋体"/>
                                    </w:rPr>
                                  </w:pPr>
                                  <w:r>
                                    <w:rPr>
                                      <w:rFonts w:hint="eastAsia" w:ascii="宋体" w:hAnsi="宋体" w:cs="宋体"/>
                                      <w:b/>
                                      <w:bCs/>
                                      <w:w w:val="99"/>
                                    </w:rPr>
                                    <w:t>依据的标准</w:t>
                                  </w:r>
                                </w:p>
                              </w:tc>
                            </w:tr>
                            <w:tr>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1"/>
                                    <w:rPr>
                                      <w:rFonts w:ascii="宋体" w:hAnsi="宋体" w:cs="宋体"/>
                                      <w:sz w:val="15"/>
                                      <w:szCs w:val="15"/>
                                    </w:rPr>
                                  </w:pPr>
                                </w:p>
                                <w:p>
                                  <w:pPr>
                                    <w:pStyle w:val="54"/>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2"/>
                                    <w:rPr>
                                      <w:rFonts w:ascii="宋体" w:hAnsi="宋体" w:cs="宋体"/>
                                      <w:sz w:val="23"/>
                                      <w:szCs w:val="23"/>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pPr>
                                    <w:pStyle w:val="54"/>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2"/>
                                    <w:rPr>
                                      <w:rFonts w:ascii="宋体" w:hAnsi="宋体" w:cs="宋体"/>
                                      <w:sz w:val="14"/>
                                      <w:szCs w:val="14"/>
                                      <w:lang w:eastAsia="zh-CN"/>
                                    </w:rPr>
                                  </w:pPr>
                                </w:p>
                                <w:p>
                                  <w:pPr>
                                    <w:pStyle w:val="54"/>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3"/>
                                    <w:rPr>
                                      <w:rFonts w:ascii="宋体" w:hAnsi="宋体" w:cs="宋体"/>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pPr>
                                    <w:pStyle w:val="54"/>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pPr>
                                    <w:pStyle w:val="54"/>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pPr>
                                    <w:pStyle w:val="54"/>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pPr>
                                    <w:pStyle w:val="54"/>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2"/>
                                    <w:rPr>
                                      <w:rFonts w:ascii="宋体" w:hAnsi="宋体" w:cs="宋体"/>
                                      <w:sz w:val="17"/>
                                      <w:szCs w:val="17"/>
                                      <w:lang w:eastAsia="zh-CN"/>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pPr>
                                    <w:pStyle w:val="54"/>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7"/>
                                      <w:szCs w:val="27"/>
                                      <w:lang w:eastAsia="zh-CN"/>
                                    </w:rPr>
                                  </w:pPr>
                                </w:p>
                                <w:p>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spacing w:before="7"/>
                                    <w:rPr>
                                      <w:rFonts w:ascii="宋体" w:hAnsi="宋体" w:cs="宋体"/>
                                      <w:sz w:val="19"/>
                                      <w:szCs w:val="19"/>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pPr>
                                    <w:pStyle w:val="54"/>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3"/>
                                    <w:rPr>
                                      <w:rFonts w:ascii="宋体" w:hAnsi="宋体" w:cs="宋体"/>
                                      <w:sz w:val="16"/>
                                      <w:szCs w:val="16"/>
                                      <w:lang w:eastAsia="zh-CN"/>
                                    </w:rPr>
                                  </w:pPr>
                                </w:p>
                                <w:p>
                                  <w:pPr>
                                    <w:pStyle w:val="54"/>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pPr>
                                    <w:pStyle w:val="54"/>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7"/>
                                    <w:rPr>
                                      <w:rFonts w:ascii="宋体" w:hAnsi="宋体" w:cs="宋体"/>
                                      <w:sz w:val="26"/>
                                      <w:szCs w:val="26"/>
                                      <w:lang w:eastAsia="zh-CN"/>
                                    </w:rPr>
                                  </w:pPr>
                                </w:p>
                                <w:p>
                                  <w:pPr>
                                    <w:pStyle w:val="54"/>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8"/>
                                    <w:rPr>
                                      <w:rFonts w:ascii="宋体" w:hAnsi="宋体" w:cs="宋体"/>
                                      <w:sz w:val="14"/>
                                      <w:szCs w:val="14"/>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pPr>
                                    <w:pStyle w:val="54"/>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8"/>
                                    <w:rPr>
                                      <w:rFonts w:ascii="宋体" w:hAnsi="宋体" w:cs="宋体"/>
                                      <w:sz w:val="14"/>
                                      <w:szCs w:val="14"/>
                                    </w:rPr>
                                  </w:pPr>
                                </w:p>
                                <w:p>
                                  <w:pPr>
                                    <w:pStyle w:val="54"/>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spacing w:before="1"/>
                                    <w:rPr>
                                      <w:rFonts w:ascii="宋体" w:hAnsi="宋体" w:cs="宋体"/>
                                      <w:sz w:val="18"/>
                                      <w:szCs w:val="18"/>
                                    </w:rPr>
                                  </w:pPr>
                                </w:p>
                                <w:p>
                                  <w:pPr>
                                    <w:pStyle w:val="54"/>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lang w:eastAsia="zh-CN"/>
                                    </w:rPr>
                                  </w:pPr>
                                </w:p>
                                <w:p>
                                  <w:pPr>
                                    <w:pStyle w:val="54"/>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wps:txbx>
                      <wps:bodyPr rot="0" vert="horz" wrap="square" lIns="0" tIns="0" rIns="0" bIns="0" anchor="t" anchorCtr="0"/>
                    </wps:wsp>
                  </a:graphicData>
                </a:graphic>
              </wp:anchor>
            </w:drawing>
          </mc:Choice>
          <mc:Fallback>
            <w:pict>
              <v:shape id="_x0000_s1026" o:spid="_x0000_s1026" o:spt="202" type="#_x0000_t202" style="position:absolute;left:0pt;margin-left:35.2pt;margin-top:7.95pt;height:588.9pt;width:504.25pt;mso-position-horizontal-relative:page;z-index:251663360;mso-width-relative:page;mso-height-relative:page;" filled="f" stroked="f" coordsize="21600,21600" o:gfxdata="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meyd&#10;2gAAAAsBAAAPAAAAAAAAAAEAIAAAACIAAABkcnMvZG93bnJldi54bWxQSwECFAAUAAAACACHTuJA&#10;czqhW+YBAAC8AwAADgAAAAAAAAABACAAAAApAQAAZHJzL2Uyb0RvYy54bWxQSwUGAAAAAAYABgBZ&#10;AQAAgQUAAAAA&#10;">
                <v:fill on="f" focussize="0,0"/>
                <v:stroke on="f" weight="1pt"/>
                <v:imagedata o:title=""/>
                <o:lock v:ext="edit" aspectratio="f"/>
                <v:textbox inset="0mm,0mm,0mm,0mm">
                  <w:txbxContent>
                    <w:tbl>
                      <w:tblPr>
                        <w:tblStyle w:val="21"/>
                        <w:tblW w:w="9125" w:type="dxa"/>
                        <w:tblInd w:w="632" w:type="dxa"/>
                        <w:tblLayout w:type="fixed"/>
                        <w:tblCellMar>
                          <w:top w:w="0" w:type="dxa"/>
                          <w:left w:w="0" w:type="dxa"/>
                          <w:bottom w:w="0" w:type="dxa"/>
                          <w:right w:w="0" w:type="dxa"/>
                        </w:tblCellMar>
                      </w:tblPr>
                      <w:tblGrid>
                        <w:gridCol w:w="574"/>
                        <w:gridCol w:w="1166"/>
                        <w:gridCol w:w="1800"/>
                        <w:gridCol w:w="1823"/>
                        <w:gridCol w:w="3762"/>
                      </w:tblGrid>
                      <w:tr>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pPr>
                              <w:pStyle w:val="54"/>
                              <w:spacing w:before="4"/>
                              <w:rPr>
                                <w:rFonts w:ascii="宋体" w:hAnsi="宋体" w:cs="宋体"/>
                                <w:sz w:val="16"/>
                                <w:szCs w:val="16"/>
                              </w:rPr>
                            </w:pPr>
                          </w:p>
                          <w:p>
                            <w:pPr>
                              <w:pStyle w:val="54"/>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
                              <w:rPr>
                                <w:rFonts w:ascii="宋体" w:hAnsi="宋体" w:cs="宋体"/>
                                <w:sz w:val="16"/>
                                <w:szCs w:val="16"/>
                              </w:rPr>
                            </w:pPr>
                          </w:p>
                          <w:p>
                            <w:pPr>
                              <w:pStyle w:val="54"/>
                              <w:ind w:left="926"/>
                              <w:rPr>
                                <w:rFonts w:ascii="宋体" w:hAnsi="宋体" w:cs="宋体"/>
                              </w:rPr>
                            </w:pPr>
                            <w:r>
                              <w:rPr>
                                <w:rFonts w:hint="eastAsia" w:ascii="宋体" w:hAnsi="宋体" w:cs="宋体"/>
                                <w:b/>
                                <w:bCs/>
                                <w:w w:val="99"/>
                              </w:rPr>
                              <w:t>依据的标准</w:t>
                            </w:r>
                          </w:p>
                        </w:tc>
                      </w:tr>
                      <w:tr>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1"/>
                              <w:rPr>
                                <w:rFonts w:ascii="宋体" w:hAnsi="宋体" w:cs="宋体"/>
                                <w:sz w:val="15"/>
                                <w:szCs w:val="15"/>
                              </w:rPr>
                            </w:pPr>
                          </w:p>
                          <w:p>
                            <w:pPr>
                              <w:pStyle w:val="54"/>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2"/>
                              <w:rPr>
                                <w:rFonts w:ascii="宋体" w:hAnsi="宋体" w:cs="宋体"/>
                                <w:sz w:val="23"/>
                                <w:szCs w:val="23"/>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pPr>
                              <w:pStyle w:val="54"/>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2"/>
                              <w:rPr>
                                <w:rFonts w:ascii="宋体" w:hAnsi="宋体" w:cs="宋体"/>
                                <w:sz w:val="14"/>
                                <w:szCs w:val="14"/>
                                <w:lang w:eastAsia="zh-CN"/>
                              </w:rPr>
                            </w:pPr>
                          </w:p>
                          <w:p>
                            <w:pPr>
                              <w:pStyle w:val="54"/>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3"/>
                              <w:rPr>
                                <w:rFonts w:ascii="宋体" w:hAnsi="宋体" w:cs="宋体"/>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pPr>
                              <w:pStyle w:val="54"/>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pPr>
                              <w:pStyle w:val="54"/>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pPr>
                              <w:pStyle w:val="54"/>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pPr>
                              <w:pStyle w:val="54"/>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2"/>
                              <w:rPr>
                                <w:rFonts w:ascii="宋体" w:hAnsi="宋体" w:cs="宋体"/>
                                <w:sz w:val="17"/>
                                <w:szCs w:val="17"/>
                                <w:lang w:eastAsia="zh-CN"/>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pPr>
                              <w:pStyle w:val="54"/>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7"/>
                                <w:szCs w:val="27"/>
                                <w:lang w:eastAsia="zh-CN"/>
                              </w:rPr>
                            </w:pPr>
                          </w:p>
                          <w:p>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spacing w:before="7"/>
                              <w:rPr>
                                <w:rFonts w:ascii="宋体" w:hAnsi="宋体" w:cs="宋体"/>
                                <w:sz w:val="19"/>
                                <w:szCs w:val="19"/>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pPr>
                              <w:pStyle w:val="54"/>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3"/>
                              <w:rPr>
                                <w:rFonts w:ascii="宋体" w:hAnsi="宋体" w:cs="宋体"/>
                                <w:sz w:val="16"/>
                                <w:szCs w:val="16"/>
                                <w:lang w:eastAsia="zh-CN"/>
                              </w:rPr>
                            </w:pPr>
                          </w:p>
                          <w:p>
                            <w:pPr>
                              <w:pStyle w:val="54"/>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pPr>
                              <w:pStyle w:val="54"/>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pPr>
                              <w:pStyle w:val="54"/>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pPr>
                              <w:pStyle w:val="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7"/>
                              <w:rPr>
                                <w:rFonts w:ascii="宋体" w:hAnsi="宋体" w:cs="宋体"/>
                                <w:sz w:val="26"/>
                                <w:szCs w:val="26"/>
                                <w:lang w:eastAsia="zh-CN"/>
                              </w:rPr>
                            </w:pPr>
                          </w:p>
                          <w:p>
                            <w:pPr>
                              <w:pStyle w:val="54"/>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8"/>
                              <w:rPr>
                                <w:rFonts w:ascii="宋体" w:hAnsi="宋体" w:cs="宋体"/>
                                <w:sz w:val="14"/>
                                <w:szCs w:val="14"/>
                              </w:rPr>
                            </w:pPr>
                          </w:p>
                          <w:p>
                            <w:pPr>
                              <w:pStyle w:val="5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pPr>
                              <w:pStyle w:val="54"/>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8"/>
                              <w:rPr>
                                <w:rFonts w:ascii="宋体" w:hAnsi="宋体" w:cs="宋体"/>
                                <w:sz w:val="14"/>
                                <w:szCs w:val="14"/>
                              </w:rPr>
                            </w:pPr>
                          </w:p>
                          <w:p>
                            <w:pPr>
                              <w:pStyle w:val="54"/>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spacing w:before="1"/>
                              <w:rPr>
                                <w:rFonts w:ascii="宋体" w:hAnsi="宋体" w:cs="宋体"/>
                                <w:sz w:val="18"/>
                                <w:szCs w:val="18"/>
                              </w:rPr>
                            </w:pPr>
                          </w:p>
                          <w:p>
                            <w:pPr>
                              <w:pStyle w:val="54"/>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lang w:eastAsia="zh-CN"/>
                              </w:rPr>
                            </w:pPr>
                          </w:p>
                          <w:p>
                            <w:pPr>
                              <w:pStyle w:val="54"/>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v:textbox>
              </v:shape>
            </w:pict>
          </mc:Fallback>
        </mc:AlternateContent>
      </w: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after="0"/>
        <w:jc w:val="both"/>
        <w:rPr>
          <w:rFonts w:ascii="Arial Unicode MS" w:hAnsi="Arial Unicode MS" w:eastAsia="Arial Unicode MS" w:cs="Arial Unicode MS"/>
          <w:color w:val="auto"/>
          <w:kern w:val="2"/>
          <w:sz w:val="20"/>
          <w:szCs w:val="20"/>
          <w:highlight w:val="none"/>
        </w:rPr>
      </w:pPr>
    </w:p>
    <w:p>
      <w:pPr>
        <w:widowControl w:val="0"/>
        <w:wordWrap w:val="0"/>
        <w:adjustRightInd/>
        <w:snapToGrid/>
        <w:spacing w:before="16" w:after="0"/>
        <w:jc w:val="both"/>
        <w:rPr>
          <w:rFonts w:ascii="Arial Unicode MS" w:hAnsi="Arial Unicode MS" w:eastAsia="Arial Unicode MS" w:cs="Arial Unicode MS"/>
          <w:color w:val="auto"/>
          <w:kern w:val="2"/>
          <w:sz w:val="17"/>
          <w:szCs w:val="17"/>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3" w:after="0"/>
        <w:jc w:val="both"/>
        <w:rPr>
          <w:rFonts w:ascii="宋体" w:hAnsi="宋体" w:eastAsia="宋体" w:cs="宋体"/>
          <w:color w:val="auto"/>
          <w:kern w:val="2"/>
          <w:sz w:val="15"/>
          <w:szCs w:val="15"/>
          <w:highlight w:val="none"/>
        </w:rPr>
      </w:pPr>
    </w:p>
    <w:p>
      <w:pPr>
        <w:wordWrap w:val="0"/>
        <w:rPr>
          <w:rFonts w:ascii="宋体" w:hAnsi="宋体" w:cs="宋体"/>
          <w:color w:val="auto"/>
          <w:sz w:val="20"/>
          <w:szCs w:val="20"/>
          <w:highlight w:val="none"/>
        </w:rPr>
        <w:sectPr>
          <w:footerReference r:id="rId9" w:type="default"/>
          <w:pgSz w:w="11910" w:h="16840"/>
          <w:pgMar w:top="1293" w:right="1500" w:bottom="280" w:left="1680" w:header="720" w:footer="720" w:gutter="0"/>
          <w:pgNumType w:fmt="decimal" w:start="1"/>
          <w:cols w:space="720" w:num="1"/>
        </w:sectPr>
      </w:pPr>
    </w:p>
    <w:p>
      <w:pPr>
        <w:widowControl w:val="0"/>
        <w:wordWrap w:val="0"/>
        <w:adjustRightInd/>
        <w:snapToGrid/>
        <w:spacing w:after="0"/>
        <w:jc w:val="both"/>
        <w:rPr>
          <w:rFonts w:ascii="宋体" w:hAnsi="宋体" w:eastAsia="宋体" w:cs="宋体"/>
          <w:color w:val="auto"/>
          <w:kern w:val="2"/>
          <w:sz w:val="20"/>
          <w:szCs w:val="20"/>
          <w:highlight w:val="none"/>
        </w:rPr>
      </w:pPr>
      <w:r>
        <w:rPr>
          <w:rFonts w:ascii="Times New Roman" w:hAnsi="Times New Roman" w:eastAsia="宋体"/>
          <w:color w:val="auto"/>
          <w:kern w:val="2"/>
          <w:sz w:val="21"/>
          <w:szCs w:val="24"/>
          <w:highlight w:val="none"/>
        </w:rPr>
        <mc:AlternateContent>
          <mc:Choice Requires="wps">
            <w:drawing>
              <wp:anchor distT="0" distB="0" distL="114300" distR="114300" simplePos="0" relativeHeight="251664384"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w="12700">
                          <a:noFill/>
                        </a:ln>
                        <a:effectLst/>
                      </wps:spPr>
                      <wps:txbx>
                        <w:txbxContent>
                          <w:tbl>
                            <w:tblPr>
                              <w:tblStyle w:val="21"/>
                              <w:tblW w:w="9105" w:type="dxa"/>
                              <w:tblInd w:w="7" w:type="dxa"/>
                              <w:tblLayout w:type="fixed"/>
                              <w:tblCellMar>
                                <w:top w:w="0" w:type="dxa"/>
                                <w:left w:w="0" w:type="dxa"/>
                                <w:bottom w:w="0" w:type="dxa"/>
                                <w:right w:w="0" w:type="dxa"/>
                              </w:tblCellMar>
                            </w:tblPr>
                            <w:tblGrid>
                              <w:gridCol w:w="570"/>
                              <w:gridCol w:w="1163"/>
                              <w:gridCol w:w="1800"/>
                              <w:gridCol w:w="1792"/>
                              <w:gridCol w:w="3780"/>
                            </w:tblGrid>
                            <w:tr>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163"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nil"/>
                                    <w:right w:val="single" w:color="000000" w:sz="4" w:space="0"/>
                                  </w:tcBorders>
                                </w:tcPr>
                                <w:p>
                                  <w:pPr>
                                    <w:pStyle w:val="54"/>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pPr>
                                    <w:pStyle w:val="54"/>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3"/>
                                    <w:rPr>
                                      <w:rFonts w:ascii="宋体" w:hAnsi="宋体" w:cs="宋体"/>
                                      <w:sz w:val="21"/>
                                      <w:szCs w:val="21"/>
                                      <w:lang w:eastAsia="zh-CN"/>
                                    </w:rPr>
                                  </w:pPr>
                                </w:p>
                                <w:p>
                                  <w:pPr>
                                    <w:pStyle w:val="54"/>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single" w:color="000000" w:sz="4" w:space="0"/>
                                    <w:left w:val="single" w:color="000000" w:sz="4" w:space="0"/>
                                    <w:bottom w:val="nil"/>
                                    <w:right w:val="single" w:color="000000" w:sz="4" w:space="0"/>
                                  </w:tcBorders>
                                </w:tcPr>
                                <w:p>
                                  <w:pPr>
                                    <w:pStyle w:val="54"/>
                                    <w:spacing w:before="7"/>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4"/>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pPr>
                                    <w:pStyle w:val="54"/>
                                    <w:spacing w:line="256" w:lineRule="exact"/>
                                    <w:rPr>
                                      <w:rFonts w:ascii="宋体" w:hAnsi="宋体" w:cs="宋体"/>
                                      <w:sz w:val="20"/>
                                      <w:szCs w:val="20"/>
                                      <w:lang w:eastAsia="zh-CN"/>
                                    </w:rPr>
                                  </w:pPr>
                                </w:p>
                              </w:tc>
                            </w:tr>
                            <w:tr>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800" w:type="dxa"/>
                                  <w:tcBorders>
                                    <w:top w:val="single" w:color="000000" w:sz="4" w:space="0"/>
                                    <w:left w:val="single" w:color="000000" w:sz="4" w:space="0"/>
                                    <w:bottom w:val="nil"/>
                                    <w:right w:val="single" w:color="000000" w:sz="4" w:space="0"/>
                                  </w:tcBorders>
                                </w:tcPr>
                                <w:p>
                                  <w:pPr>
                                    <w:pStyle w:val="54"/>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4"/>
                                    <w:spacing w:before="1"/>
                                    <w:rPr>
                                      <w:rFonts w:ascii="宋体" w:hAnsi="宋体" w:cs="宋体"/>
                                      <w:sz w:val="18"/>
                                      <w:szCs w:val="18"/>
                                    </w:rPr>
                                  </w:pPr>
                                </w:p>
                                <w:p>
                                  <w:pPr>
                                    <w:pStyle w:val="54"/>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pPr>
                                    <w:pStyle w:val="54"/>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4"/>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tcBorders>
                                    <w:top w:val="nil"/>
                                    <w:left w:val="single" w:color="000000" w:sz="4" w:space="0"/>
                                    <w:bottom w:val="single" w:color="000000" w:sz="4" w:space="0"/>
                                    <w:right w:val="single" w:color="000000" w:sz="4" w:space="0"/>
                                  </w:tcBorders>
                                </w:tcPr>
                                <w:p>
                                  <w:pPr>
                                    <w:pStyle w:val="5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single" w:color="000000" w:sz="4" w:space="0"/>
                                    <w:left w:val="single" w:color="000000" w:sz="4" w:space="0"/>
                                    <w:bottom w:val="nil"/>
                                    <w:right w:val="single" w:color="000000" w:sz="4" w:space="0"/>
                                  </w:tcBorders>
                                </w:tcPr>
                                <w:p>
                                  <w:pPr>
                                    <w:pStyle w:val="54"/>
                                    <w:rPr>
                                      <w:rFonts w:ascii="宋体" w:hAnsi="宋体" w:cs="宋体"/>
                                      <w:sz w:val="20"/>
                                      <w:szCs w:val="20"/>
                                      <w:lang w:eastAsia="zh-CN"/>
                                    </w:rPr>
                                  </w:pPr>
                                </w:p>
                                <w:p>
                                  <w:pPr>
                                    <w:pStyle w:val="54"/>
                                    <w:spacing w:before="9"/>
                                    <w:rPr>
                                      <w:rFonts w:ascii="宋体" w:hAnsi="宋体" w:cs="宋体"/>
                                      <w:sz w:val="20"/>
                                      <w:szCs w:val="20"/>
                                      <w:lang w:eastAsia="zh-CN"/>
                                    </w:rPr>
                                  </w:pPr>
                                </w:p>
                                <w:p>
                                  <w:pPr>
                                    <w:pStyle w:val="54"/>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pPr>
                                    <w:pStyle w:val="54"/>
                                    <w:spacing w:before="11"/>
                                    <w:rPr>
                                      <w:rFonts w:ascii="宋体" w:hAnsi="宋体" w:cs="宋体"/>
                                      <w:sz w:val="16"/>
                                      <w:szCs w:val="16"/>
                                      <w:lang w:eastAsia="zh-CN"/>
                                    </w:rPr>
                                  </w:pPr>
                                </w:p>
                                <w:p>
                                  <w:pPr>
                                    <w:pStyle w:val="54"/>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pPr>
                                    <w:pStyle w:val="54"/>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vMerge w:val="continue"/>
                                  <w:tcBorders>
                                    <w:left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lang w:eastAsia="zh-CN"/>
                                    </w:rPr>
                                  </w:pPr>
                                </w:p>
                                <w:p>
                                  <w:pPr>
                                    <w:pStyle w:val="54"/>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rPr>
                                  </w:pPr>
                                </w:p>
                                <w:p>
                                  <w:pPr>
                                    <w:pStyle w:val="54"/>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spacing w:before="3"/>
                                    <w:rPr>
                                      <w:rFonts w:ascii="宋体" w:hAnsi="宋体" w:cs="宋体"/>
                                      <w:sz w:val="14"/>
                                      <w:szCs w:val="14"/>
                                      <w:lang w:eastAsia="zh-CN"/>
                                    </w:rPr>
                                  </w:pPr>
                                </w:p>
                                <w:p>
                                  <w:pPr>
                                    <w:pStyle w:val="54"/>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pPr>
                                    <w:pStyle w:val="54"/>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3"/>
                                    <w:rPr>
                                      <w:rFonts w:ascii="宋体" w:hAnsi="宋体" w:cs="宋体"/>
                                      <w:sz w:val="14"/>
                                      <w:szCs w:val="14"/>
                                    </w:rPr>
                                  </w:pPr>
                                </w:p>
                                <w:p>
                                  <w:pPr>
                                    <w:pStyle w:val="54"/>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nil"/>
                                    <w:right w:val="single" w:color="000000" w:sz="4" w:space="0"/>
                                  </w:tcBorders>
                                </w:tcPr>
                                <w:p>
                                  <w:pPr>
                                    <w:pStyle w:val="54"/>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能效等级》（GB20052）</w:t>
                                  </w:r>
                                </w:p>
                              </w:tc>
                            </w:tr>
                            <w:tr>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1"/>
                                      <w:szCs w:val="21"/>
                                    </w:rPr>
                                  </w:pPr>
                                </w:p>
                                <w:p>
                                  <w:pPr>
                                    <w:pStyle w:val="54"/>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pPr>
                                    <w:pStyle w:val="54"/>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vMerge w:val="restart"/>
                                  <w:tcBorders>
                                    <w:top w:val="single" w:color="000000" w:sz="4" w:space="0"/>
                                    <w:left w:val="single" w:color="000000" w:sz="4" w:space="0"/>
                                    <w:right w:val="single" w:color="000000" w:sz="4" w:space="0"/>
                                  </w:tcBorders>
                                </w:tcPr>
                                <w:p>
                                  <w:pPr>
                                    <w:pStyle w:val="54"/>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vMerge w:val="continue"/>
                                  <w:tcBorders>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5"/>
                                    <w:rPr>
                                      <w:rFonts w:ascii="宋体" w:hAnsi="宋体" w:cs="宋体"/>
                                      <w:sz w:val="18"/>
                                      <w:szCs w:val="18"/>
                                      <w:lang w:eastAsia="zh-CN"/>
                                    </w:rPr>
                                  </w:pPr>
                                </w:p>
                                <w:p>
                                  <w:pPr>
                                    <w:pStyle w:val="54"/>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6"/>
                                    <w:rPr>
                                      <w:rFonts w:ascii="宋体" w:hAnsi="宋体" w:cs="宋体"/>
                                      <w:sz w:val="26"/>
                                      <w:szCs w:val="26"/>
                                    </w:rPr>
                                  </w:pPr>
                                </w:p>
                                <w:p>
                                  <w:pPr>
                                    <w:pStyle w:val="54"/>
                                    <w:ind w:left="7"/>
                                    <w:rPr>
                                      <w:rFonts w:ascii="宋体" w:hAnsi="宋体" w:cs="宋体"/>
                                      <w:sz w:val="20"/>
                                      <w:szCs w:val="20"/>
                                    </w:rPr>
                                  </w:pPr>
                                  <w:r>
                                    <w:rPr>
                                      <w:rFonts w:hint="eastAsia" w:ascii="宋体" w:hAnsi="宋体" w:cs="宋体"/>
                                      <w:w w:val="99"/>
                                      <w:sz w:val="20"/>
                                      <w:szCs w:val="20"/>
                                    </w:rPr>
                                    <w:t>A020618生活</w:t>
                                  </w:r>
                                </w:p>
                                <w:p>
                                  <w:pPr>
                                    <w:pStyle w:val="5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1"/>
                                    <w:rPr>
                                      <w:rFonts w:ascii="宋体" w:hAnsi="宋体" w:cs="宋体"/>
                                      <w:sz w:val="16"/>
                                      <w:szCs w:val="16"/>
                                    </w:rPr>
                                  </w:pPr>
                                </w:p>
                                <w:p>
                                  <w:pPr>
                                    <w:pStyle w:val="54"/>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71"/>
                                    <w:ind w:left="7"/>
                                    <w:rPr>
                                      <w:rFonts w:ascii="宋体" w:hAnsi="宋体" w:cs="宋体"/>
                                      <w:sz w:val="20"/>
                                      <w:szCs w:val="20"/>
                                    </w:rPr>
                                  </w:pPr>
                                  <w:r>
                                    <w:rPr>
                                      <w:rFonts w:hint="eastAsia" w:ascii="宋体" w:hAnsi="宋体" w:cs="宋体"/>
                                      <w:w w:val="99"/>
                                      <w:sz w:val="20"/>
                                      <w:szCs w:val="20"/>
                                    </w:rPr>
                                    <w:t>★A0206180203空调</w:t>
                                  </w:r>
                                </w:p>
                                <w:p>
                                  <w:pPr>
                                    <w:pStyle w:val="54"/>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2"/>
                                    <w:rPr>
                                      <w:rFonts w:ascii="宋体" w:hAnsi="宋体" w:cs="宋体"/>
                                      <w:sz w:val="19"/>
                                      <w:szCs w:val="19"/>
                                    </w:rPr>
                                  </w:pPr>
                                </w:p>
                                <w:p>
                                  <w:pPr>
                                    <w:pStyle w:val="54"/>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pPr>
                                    <w:pStyle w:val="54"/>
                                    <w:spacing w:line="256" w:lineRule="exact"/>
                                    <w:ind w:left="7"/>
                                    <w:rPr>
                                      <w:rFonts w:ascii="宋体" w:hAnsi="宋体" w:cs="宋体"/>
                                      <w:sz w:val="20"/>
                                      <w:szCs w:val="20"/>
                                    </w:rPr>
                                  </w:pPr>
                                  <w:r>
                                    <w:rPr>
                                      <w:rFonts w:hint="eastAsia" w:ascii="宋体" w:hAnsi="宋体" w:cs="宋体"/>
                                      <w:w w:val="99"/>
                                      <w:sz w:val="20"/>
                                      <w:szCs w:val="20"/>
                                    </w:rPr>
                                    <w:t>实施。</w:t>
                                  </w: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vMerge w:val="restart"/>
                                  <w:tcBorders>
                                    <w:top w:val="single" w:color="000000" w:sz="4" w:space="0"/>
                                    <w:left w:val="single" w:color="000000" w:sz="4" w:space="0"/>
                                    <w:bottom w:val="nil"/>
                                    <w:right w:val="single" w:color="000000" w:sz="4" w:space="0"/>
                                  </w:tcBorders>
                                </w:tcPr>
                                <w:p>
                                  <w:pPr>
                                    <w:pStyle w:val="54"/>
                                    <w:spacing w:before="2"/>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4"/>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pPr>
                              <w:widowControl w:val="0"/>
                              <w:adjustRightInd/>
                              <w:snapToGrid/>
                              <w:spacing w:after="0"/>
                              <w:jc w:val="both"/>
                              <w:rPr>
                                <w:rFonts w:ascii="Calibri" w:hAnsi="Calibri" w:eastAsia="宋体"/>
                                <w:kern w:val="2"/>
                              </w:rPr>
                            </w:pPr>
                          </w:p>
                        </w:txbxContent>
                      </wps:txbx>
                      <wps:bodyPr rot="0" vert="horz" wrap="square" lIns="0" tIns="0" rIns="0" bIns="0" anchor="t" anchorCtr="0"/>
                    </wps:wsp>
                  </a:graphicData>
                </a:graphic>
              </wp:anchor>
            </w:drawing>
          </mc:Choice>
          <mc:Fallback>
            <w:pict>
              <v:shape id="_x0000_s1026" o:spid="_x0000_s1026" o:spt="202" type="#_x0000_t202" style="position:absolute;left:0pt;margin-left:67.45pt;margin-top:3.45pt;height:671.2pt;width:485.5pt;mso-position-horizontal-relative:page;z-index:251664384;mso-width-relative:page;mso-height-relative:page;" filled="f" stroked="f" coordsize="21600,21600" o:gfxdata="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x+L92AAA&#10;AAsBAAAPAAAAAAAAAAEAIAAAACIAAABkcnMvZG93bnJldi54bWxQSwECFAAUAAAACACHTuJAWS/c&#10;geUBAAC8AwAADgAAAAAAAAABACAAAAAnAQAAZHJzL2Uyb0RvYy54bWxQSwUGAAAAAAYABgBZAQAA&#10;fgUAAAAA&#10;">
                <v:fill on="f" focussize="0,0"/>
                <v:stroke on="f" weight="1pt"/>
                <v:imagedata o:title=""/>
                <o:lock v:ext="edit" aspectratio="f"/>
                <v:textbox inset="0mm,0mm,0mm,0mm">
                  <w:txbxContent>
                    <w:tbl>
                      <w:tblPr>
                        <w:tblStyle w:val="21"/>
                        <w:tblW w:w="9105" w:type="dxa"/>
                        <w:tblInd w:w="7" w:type="dxa"/>
                        <w:tblLayout w:type="fixed"/>
                        <w:tblCellMar>
                          <w:top w:w="0" w:type="dxa"/>
                          <w:left w:w="0" w:type="dxa"/>
                          <w:bottom w:w="0" w:type="dxa"/>
                          <w:right w:w="0" w:type="dxa"/>
                        </w:tblCellMar>
                      </w:tblPr>
                      <w:tblGrid>
                        <w:gridCol w:w="570"/>
                        <w:gridCol w:w="1163"/>
                        <w:gridCol w:w="1800"/>
                        <w:gridCol w:w="1792"/>
                        <w:gridCol w:w="3780"/>
                      </w:tblGrid>
                      <w:tr>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163"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nil"/>
                              <w:right w:val="single" w:color="000000" w:sz="4" w:space="0"/>
                            </w:tcBorders>
                          </w:tcPr>
                          <w:p>
                            <w:pPr>
                              <w:pStyle w:val="54"/>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pPr>
                              <w:pStyle w:val="54"/>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3"/>
                              <w:rPr>
                                <w:rFonts w:ascii="宋体" w:hAnsi="宋体" w:cs="宋体"/>
                                <w:sz w:val="21"/>
                                <w:szCs w:val="21"/>
                                <w:lang w:eastAsia="zh-CN"/>
                              </w:rPr>
                            </w:pPr>
                          </w:p>
                          <w:p>
                            <w:pPr>
                              <w:pStyle w:val="54"/>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single" w:color="000000" w:sz="4" w:space="0"/>
                              <w:left w:val="single" w:color="000000" w:sz="4" w:space="0"/>
                              <w:bottom w:val="nil"/>
                              <w:right w:val="single" w:color="000000" w:sz="4" w:space="0"/>
                            </w:tcBorders>
                          </w:tcPr>
                          <w:p>
                            <w:pPr>
                              <w:pStyle w:val="54"/>
                              <w:spacing w:before="7"/>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4"/>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pPr>
                              <w:pStyle w:val="54"/>
                              <w:spacing w:line="256" w:lineRule="exact"/>
                              <w:rPr>
                                <w:rFonts w:ascii="宋体" w:hAnsi="宋体" w:cs="宋体"/>
                                <w:sz w:val="20"/>
                                <w:szCs w:val="20"/>
                                <w:lang w:eastAsia="zh-CN"/>
                              </w:rPr>
                            </w:pPr>
                          </w:p>
                        </w:tc>
                      </w:tr>
                      <w:tr>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1800" w:type="dxa"/>
                            <w:tcBorders>
                              <w:top w:val="single" w:color="000000" w:sz="4" w:space="0"/>
                              <w:left w:val="single" w:color="000000" w:sz="4" w:space="0"/>
                              <w:bottom w:val="nil"/>
                              <w:right w:val="single" w:color="000000" w:sz="4" w:space="0"/>
                            </w:tcBorders>
                          </w:tcPr>
                          <w:p>
                            <w:pPr>
                              <w:pStyle w:val="54"/>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4"/>
                              <w:spacing w:before="1"/>
                              <w:rPr>
                                <w:rFonts w:ascii="宋体" w:hAnsi="宋体" w:cs="宋体"/>
                                <w:sz w:val="18"/>
                                <w:szCs w:val="18"/>
                              </w:rPr>
                            </w:pPr>
                          </w:p>
                          <w:p>
                            <w:pPr>
                              <w:pStyle w:val="54"/>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pPr>
                              <w:pStyle w:val="54"/>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4"/>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tcBorders>
                              <w:top w:val="nil"/>
                              <w:left w:val="single" w:color="000000" w:sz="4" w:space="0"/>
                              <w:bottom w:val="single" w:color="000000" w:sz="4" w:space="0"/>
                              <w:right w:val="single" w:color="000000" w:sz="4" w:space="0"/>
                            </w:tcBorders>
                          </w:tcPr>
                          <w:p>
                            <w:pPr>
                              <w:pStyle w:val="54"/>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single" w:color="000000" w:sz="4" w:space="0"/>
                              <w:left w:val="single" w:color="000000" w:sz="4" w:space="0"/>
                              <w:bottom w:val="nil"/>
                              <w:right w:val="single" w:color="000000" w:sz="4" w:space="0"/>
                            </w:tcBorders>
                          </w:tcPr>
                          <w:p>
                            <w:pPr>
                              <w:pStyle w:val="54"/>
                              <w:rPr>
                                <w:rFonts w:ascii="宋体" w:hAnsi="宋体" w:cs="宋体"/>
                                <w:sz w:val="20"/>
                                <w:szCs w:val="20"/>
                                <w:lang w:eastAsia="zh-CN"/>
                              </w:rPr>
                            </w:pPr>
                          </w:p>
                          <w:p>
                            <w:pPr>
                              <w:pStyle w:val="54"/>
                              <w:spacing w:before="9"/>
                              <w:rPr>
                                <w:rFonts w:ascii="宋体" w:hAnsi="宋体" w:cs="宋体"/>
                                <w:sz w:val="20"/>
                                <w:szCs w:val="20"/>
                                <w:lang w:eastAsia="zh-CN"/>
                              </w:rPr>
                            </w:pPr>
                          </w:p>
                          <w:p>
                            <w:pPr>
                              <w:pStyle w:val="54"/>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pPr>
                              <w:pStyle w:val="54"/>
                              <w:spacing w:before="11"/>
                              <w:rPr>
                                <w:rFonts w:ascii="宋体" w:hAnsi="宋体" w:cs="宋体"/>
                                <w:sz w:val="16"/>
                                <w:szCs w:val="16"/>
                                <w:lang w:eastAsia="zh-CN"/>
                              </w:rPr>
                            </w:pPr>
                          </w:p>
                          <w:p>
                            <w:pPr>
                              <w:pStyle w:val="54"/>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pPr>
                              <w:pStyle w:val="54"/>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rPr>
                            </w:pPr>
                          </w:p>
                        </w:tc>
                        <w:tc>
                          <w:tcPr>
                            <w:tcW w:w="1800"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3780" w:type="dxa"/>
                            <w:vMerge w:val="continue"/>
                            <w:tcBorders>
                              <w:left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lang w:eastAsia="zh-CN"/>
                              </w:rPr>
                            </w:pPr>
                          </w:p>
                          <w:p>
                            <w:pPr>
                              <w:pStyle w:val="54"/>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pPr>
                              <w:pStyle w:val="54"/>
                              <w:spacing w:before="12"/>
                              <w:rPr>
                                <w:rFonts w:ascii="宋体" w:hAnsi="宋体" w:cs="宋体"/>
                                <w:sz w:val="15"/>
                                <w:szCs w:val="15"/>
                              </w:rPr>
                            </w:pPr>
                          </w:p>
                          <w:p>
                            <w:pPr>
                              <w:pStyle w:val="54"/>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spacing w:before="3"/>
                              <w:rPr>
                                <w:rFonts w:ascii="宋体" w:hAnsi="宋体" w:cs="宋体"/>
                                <w:sz w:val="14"/>
                                <w:szCs w:val="14"/>
                                <w:lang w:eastAsia="zh-CN"/>
                              </w:rPr>
                            </w:pPr>
                          </w:p>
                          <w:p>
                            <w:pPr>
                              <w:pStyle w:val="54"/>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pPr>
                              <w:pStyle w:val="54"/>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3"/>
                              <w:rPr>
                                <w:rFonts w:ascii="宋体" w:hAnsi="宋体" w:cs="宋体"/>
                                <w:sz w:val="14"/>
                                <w:szCs w:val="14"/>
                              </w:rPr>
                            </w:pPr>
                          </w:p>
                          <w:p>
                            <w:pPr>
                              <w:pStyle w:val="54"/>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nil"/>
                              <w:right w:val="single" w:color="000000" w:sz="4" w:space="0"/>
                            </w:tcBorders>
                          </w:tcPr>
                          <w:p>
                            <w:pPr>
                              <w:pStyle w:val="54"/>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能效等级》（GB20052）</w:t>
                            </w:r>
                          </w:p>
                        </w:tc>
                      </w:tr>
                      <w:tr>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1"/>
                                <w:szCs w:val="21"/>
                              </w:rPr>
                            </w:pPr>
                          </w:p>
                          <w:p>
                            <w:pPr>
                              <w:pStyle w:val="54"/>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pPr>
                              <w:pStyle w:val="54"/>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8"/>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vMerge w:val="restart"/>
                            <w:tcBorders>
                              <w:top w:val="single" w:color="000000" w:sz="4" w:space="0"/>
                              <w:left w:val="single" w:color="000000" w:sz="4" w:space="0"/>
                              <w:right w:val="single" w:color="000000" w:sz="4" w:space="0"/>
                            </w:tcBorders>
                          </w:tcPr>
                          <w:p>
                            <w:pPr>
                              <w:pStyle w:val="54"/>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Calibri" w:hAnsi="Calibri" w:eastAsia="Times New Roman"/>
                                <w:kern w:val="2"/>
                                <w:lang w:eastAsia="en-US"/>
                              </w:rPr>
                            </w:pPr>
                          </w:p>
                        </w:tc>
                        <w:tc>
                          <w:tcPr>
                            <w:tcW w:w="3780" w:type="dxa"/>
                            <w:vMerge w:val="continue"/>
                            <w:tcBorders>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5"/>
                              <w:rPr>
                                <w:rFonts w:ascii="宋体" w:hAnsi="宋体" w:cs="宋体"/>
                                <w:sz w:val="18"/>
                                <w:szCs w:val="18"/>
                                <w:lang w:eastAsia="zh-CN"/>
                              </w:rPr>
                            </w:pPr>
                          </w:p>
                          <w:p>
                            <w:pPr>
                              <w:pStyle w:val="54"/>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6"/>
                              <w:rPr>
                                <w:rFonts w:ascii="宋体" w:hAnsi="宋体" w:cs="宋体"/>
                                <w:sz w:val="26"/>
                                <w:szCs w:val="26"/>
                              </w:rPr>
                            </w:pPr>
                          </w:p>
                          <w:p>
                            <w:pPr>
                              <w:pStyle w:val="54"/>
                              <w:ind w:left="7"/>
                              <w:rPr>
                                <w:rFonts w:ascii="宋体" w:hAnsi="宋体" w:cs="宋体"/>
                                <w:sz w:val="20"/>
                                <w:szCs w:val="20"/>
                              </w:rPr>
                            </w:pPr>
                            <w:r>
                              <w:rPr>
                                <w:rFonts w:hint="eastAsia" w:ascii="宋体" w:hAnsi="宋体" w:cs="宋体"/>
                                <w:w w:val="99"/>
                                <w:sz w:val="20"/>
                                <w:szCs w:val="20"/>
                              </w:rPr>
                              <w:t>A020618生活</w:t>
                            </w:r>
                          </w:p>
                          <w:p>
                            <w:pPr>
                              <w:pStyle w:val="54"/>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spacing w:before="1"/>
                              <w:rPr>
                                <w:rFonts w:ascii="宋体" w:hAnsi="宋体" w:cs="宋体"/>
                                <w:sz w:val="16"/>
                                <w:szCs w:val="16"/>
                              </w:rPr>
                            </w:pPr>
                          </w:p>
                          <w:p>
                            <w:pPr>
                              <w:pStyle w:val="54"/>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71"/>
                              <w:ind w:left="7"/>
                              <w:rPr>
                                <w:rFonts w:ascii="宋体" w:hAnsi="宋体" w:cs="宋体"/>
                                <w:sz w:val="20"/>
                                <w:szCs w:val="20"/>
                              </w:rPr>
                            </w:pPr>
                            <w:r>
                              <w:rPr>
                                <w:rFonts w:hint="eastAsia" w:ascii="宋体" w:hAnsi="宋体" w:cs="宋体"/>
                                <w:w w:val="99"/>
                                <w:sz w:val="20"/>
                                <w:szCs w:val="20"/>
                              </w:rPr>
                              <w:t>★A0206180203空调</w:t>
                            </w:r>
                          </w:p>
                          <w:p>
                            <w:pPr>
                              <w:pStyle w:val="54"/>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2"/>
                              <w:rPr>
                                <w:rFonts w:ascii="宋体" w:hAnsi="宋体" w:cs="宋体"/>
                                <w:sz w:val="19"/>
                                <w:szCs w:val="19"/>
                              </w:rPr>
                            </w:pPr>
                          </w:p>
                          <w:p>
                            <w:pPr>
                              <w:pStyle w:val="54"/>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pPr>
                              <w:pStyle w:val="54"/>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pPr>
                              <w:pStyle w:val="54"/>
                              <w:spacing w:line="256" w:lineRule="exact"/>
                              <w:ind w:left="7"/>
                              <w:rPr>
                                <w:rFonts w:ascii="宋体" w:hAnsi="宋体" w:cs="宋体"/>
                                <w:sz w:val="20"/>
                                <w:szCs w:val="20"/>
                              </w:rPr>
                            </w:pPr>
                            <w:r>
                              <w:rPr>
                                <w:rFonts w:hint="eastAsia" w:ascii="宋体" w:hAnsi="宋体" w:cs="宋体"/>
                                <w:w w:val="99"/>
                                <w:sz w:val="20"/>
                                <w:szCs w:val="20"/>
                              </w:rPr>
                              <w:t>实施。</w:t>
                            </w:r>
                          </w:p>
                        </w:tc>
                      </w:tr>
                      <w:tr>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pPr>
                              <w:pStyle w:val="54"/>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vMerge w:val="restart"/>
                            <w:tcBorders>
                              <w:top w:val="single" w:color="000000" w:sz="4" w:space="0"/>
                              <w:left w:val="single" w:color="000000" w:sz="4" w:space="0"/>
                              <w:bottom w:val="nil"/>
                              <w:right w:val="single" w:color="000000" w:sz="4" w:space="0"/>
                            </w:tcBorders>
                          </w:tcPr>
                          <w:p>
                            <w:pPr>
                              <w:pStyle w:val="54"/>
                              <w:spacing w:before="2"/>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54"/>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rPr>
                            </w:pPr>
                          </w:p>
                        </w:tc>
                        <w:tc>
                          <w:tcPr>
                            <w:tcW w:w="1792" w:type="dxa"/>
                            <w:tcBorders>
                              <w:top w:val="nil"/>
                              <w:left w:val="single" w:color="000000" w:sz="4" w:space="0"/>
                              <w:bottom w:val="single" w:color="000000" w:sz="4" w:space="0"/>
                              <w:right w:val="single" w:color="000000" w:sz="4" w:space="0"/>
                            </w:tcBorders>
                          </w:tcPr>
                          <w:p>
                            <w:pPr>
                              <w:pStyle w:val="54"/>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pPr>
                              <w:pStyle w:val="54"/>
                              <w:spacing w:line="256" w:lineRule="exact"/>
                              <w:ind w:left="7"/>
                              <w:rPr>
                                <w:rFonts w:ascii="宋体" w:hAnsi="宋体" w:cs="宋体"/>
                                <w:sz w:val="20"/>
                                <w:szCs w:val="20"/>
                                <w:lang w:eastAsia="zh-CN"/>
                              </w:rPr>
                            </w:pPr>
                          </w:p>
                        </w:tc>
                      </w:tr>
                      <w:tr>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Times New Roman"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pStyle w:val="54"/>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pPr>
                              <w:widowControl w:val="0"/>
                              <w:adjustRightInd/>
                              <w:snapToGrid/>
                              <w:spacing w:after="0"/>
                              <w:jc w:val="both"/>
                              <w:rPr>
                                <w:rFonts w:ascii="Calibri" w:hAnsi="Calibri" w:eastAsia="宋体"/>
                                <w:kern w:val="2"/>
                              </w:rPr>
                            </w:pPr>
                          </w:p>
                        </w:tc>
                        <w:tc>
                          <w:tcPr>
                            <w:tcW w:w="3780" w:type="dxa"/>
                            <w:tcBorders>
                              <w:top w:val="single" w:color="000000" w:sz="4" w:space="0"/>
                              <w:left w:val="single" w:color="000000" w:sz="4" w:space="0"/>
                              <w:bottom w:val="single" w:color="000000" w:sz="4" w:space="0"/>
                              <w:right w:val="single" w:color="000000" w:sz="4" w:space="0"/>
                            </w:tcBorders>
                          </w:tcPr>
                          <w:p>
                            <w:pPr>
                              <w:pStyle w:val="54"/>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pPr>
                        <w:widowControl w:val="0"/>
                        <w:adjustRightInd/>
                        <w:snapToGrid/>
                        <w:spacing w:after="0"/>
                        <w:jc w:val="both"/>
                        <w:rPr>
                          <w:rFonts w:ascii="Calibri" w:hAnsi="Calibri" w:eastAsia="宋体"/>
                          <w:kern w:val="2"/>
                        </w:rPr>
                      </w:pPr>
                    </w:p>
                  </w:txbxContent>
                </v:textbox>
              </v:shape>
            </w:pict>
          </mc:Fallback>
        </mc:AlternateContent>
      </w: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2" w:after="0"/>
        <w:jc w:val="both"/>
        <w:rPr>
          <w:rFonts w:ascii="宋体" w:hAnsi="宋体" w:eastAsia="宋体" w:cs="宋体"/>
          <w:color w:val="auto"/>
          <w:kern w:val="2"/>
          <w:sz w:val="23"/>
          <w:szCs w:val="23"/>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6" w:after="0"/>
        <w:jc w:val="both"/>
        <w:rPr>
          <w:rFonts w:ascii="宋体" w:hAnsi="宋体" w:eastAsia="宋体" w:cs="宋体"/>
          <w:color w:val="auto"/>
          <w:kern w:val="2"/>
          <w:sz w:val="29"/>
          <w:szCs w:val="29"/>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3" w:after="0"/>
        <w:jc w:val="both"/>
        <w:rPr>
          <w:rFonts w:ascii="宋体" w:hAnsi="宋体" w:eastAsia="宋体" w:cs="宋体"/>
          <w:color w:val="auto"/>
          <w:kern w:val="2"/>
          <w:highlight w:val="none"/>
        </w:rPr>
      </w:pPr>
    </w:p>
    <w:p>
      <w:pPr>
        <w:wordWrap w:val="0"/>
        <w:rPr>
          <w:rFonts w:ascii="宋体" w:hAnsi="宋体" w:cs="宋体"/>
          <w:color w:val="auto"/>
          <w:sz w:val="20"/>
          <w:szCs w:val="20"/>
          <w:highlight w:val="none"/>
        </w:rPr>
        <w:sectPr>
          <w:pgSz w:w="11910" w:h="16840"/>
          <w:pgMar w:top="1340" w:right="1500" w:bottom="280" w:left="1680" w:header="720" w:footer="720" w:gutter="0"/>
          <w:pgNumType w:fmt="decimal"/>
          <w:cols w:space="720" w:num="1"/>
        </w:sect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r>
        <w:rPr>
          <w:rFonts w:ascii="Times New Roman" w:hAnsi="Times New Roman" w:eastAsia="宋体"/>
          <w:color w:val="auto"/>
          <w:kern w:val="2"/>
          <w:sz w:val="21"/>
          <w:szCs w:val="24"/>
          <w:highlight w:val="none"/>
        </w:rPr>
        <mc:AlternateContent>
          <mc:Choice Requires="wps">
            <w:drawing>
              <wp:anchor distT="0" distB="0" distL="114300" distR="114300" simplePos="0" relativeHeight="251665408"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w="12700">
                          <a:noFill/>
                        </a:ln>
                        <a:effectLst/>
                      </wps:spPr>
                      <wps:txbx>
                        <w:txbxContent>
                          <w:tbl>
                            <w:tblPr>
                              <w:tblStyle w:val="21"/>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30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66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pPr>
                                    <w:pStyle w:val="54"/>
                                    <w:spacing w:before="12"/>
                                    <w:rPr>
                                      <w:rFonts w:ascii="宋体" w:hAnsi="宋体" w:cs="宋体"/>
                                      <w:sz w:val="15"/>
                                      <w:szCs w:val="15"/>
                                    </w:rPr>
                                  </w:pPr>
                                </w:p>
                                <w:p>
                                  <w:pPr>
                                    <w:pStyle w:val="54"/>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spacing w:before="2"/>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19"/>
                                      <w:szCs w:val="19"/>
                                      <w:lang w:eastAsia="zh-CN"/>
                                    </w:rPr>
                                  </w:pPr>
                                </w:p>
                                <w:p>
                                  <w:pPr>
                                    <w:pStyle w:val="5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spacing w:before="12"/>
                                    <w:rPr>
                                      <w:rFonts w:ascii="宋体" w:hAnsi="宋体" w:cs="宋体"/>
                                      <w:sz w:val="15"/>
                                      <w:szCs w:val="15"/>
                                      <w:lang w:eastAsia="zh-CN"/>
                                    </w:rPr>
                                  </w:pPr>
                                </w:p>
                                <w:p>
                                  <w:pPr>
                                    <w:pStyle w:val="5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pPr>
                                    <w:pStyle w:val="5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2"/>
                                    <w:rPr>
                                      <w:rFonts w:ascii="宋体" w:hAnsi="宋体" w:cs="宋体"/>
                                      <w:sz w:val="23"/>
                                      <w:szCs w:val="23"/>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pPr>
                                    <w:pStyle w:val="54"/>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pPr>
                                    <w:pStyle w:val="54"/>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4"/>
                                    <w:rPr>
                                      <w:rFonts w:ascii="宋体" w:hAnsi="宋体" w:cs="宋体"/>
                                      <w:sz w:val="18"/>
                                      <w:szCs w:val="18"/>
                                      <w:lang w:eastAsia="zh-CN"/>
                                    </w:rPr>
                                  </w:pPr>
                                </w:p>
                                <w:p>
                                  <w:pPr>
                                    <w:pStyle w:val="5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15"/>
                                      <w:szCs w:val="15"/>
                                      <w:lang w:eastAsia="zh-CN"/>
                                    </w:rPr>
                                  </w:pPr>
                                </w:p>
                                <w:p>
                                  <w:pPr>
                                    <w:pStyle w:val="54"/>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15"/>
                                      <w:szCs w:val="15"/>
                                      <w:lang w:eastAsia="zh-CN"/>
                                    </w:rPr>
                                  </w:pPr>
                                </w:p>
                                <w:p>
                                  <w:pPr>
                                    <w:pStyle w:val="54"/>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pPr>
                                    <w:pStyle w:val="54"/>
                                    <w:spacing w:before="1"/>
                                    <w:rPr>
                                      <w:rFonts w:ascii="宋体" w:hAnsi="宋体" w:cs="宋体"/>
                                      <w:sz w:val="18"/>
                                      <w:szCs w:val="18"/>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pPr>
                                    <w:pStyle w:val="54"/>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pPr>
                                    <w:pStyle w:val="54"/>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pPr>
                                    <w:pStyle w:val="54"/>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0"/>
                                    <w:rPr>
                                      <w:rFonts w:ascii="宋体" w:hAnsi="宋体" w:cs="宋体"/>
                                      <w:sz w:val="21"/>
                                      <w:szCs w:val="21"/>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spacing w:before="11"/>
                                    <w:rPr>
                                      <w:rFonts w:ascii="宋体" w:hAnsi="宋体" w:cs="宋体"/>
                                      <w:sz w:val="29"/>
                                      <w:szCs w:val="29"/>
                                    </w:rPr>
                                  </w:pPr>
                                </w:p>
                                <w:p>
                                  <w:pPr>
                                    <w:pStyle w:val="54"/>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pPr>
                                    <w:pStyle w:val="54"/>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spacing w:before="11"/>
                                    <w:rPr>
                                      <w:rFonts w:ascii="宋体" w:hAnsi="宋体" w:cs="宋体"/>
                                      <w:sz w:val="29"/>
                                      <w:szCs w:val="29"/>
                                    </w:rPr>
                                  </w:pPr>
                                </w:p>
                                <w:p>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0"/>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pPr>
                                    <w:pStyle w:val="54"/>
                                    <w:spacing w:before="10"/>
                                    <w:rPr>
                                      <w:rFonts w:ascii="宋体" w:hAnsi="宋体" w:cs="宋体"/>
                                      <w:sz w:val="17"/>
                                      <w:szCs w:val="17"/>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pPr>
                                    <w:pStyle w:val="5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pPr>
                                    <w:pStyle w:val="54"/>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pPr>
                                    <w:pStyle w:val="54"/>
                                    <w:spacing w:before="10"/>
                                    <w:rPr>
                                      <w:rFonts w:ascii="宋体" w:hAnsi="宋体" w:cs="宋体"/>
                                      <w:sz w:val="17"/>
                                      <w:szCs w:val="17"/>
                                    </w:rPr>
                                  </w:pPr>
                                </w:p>
                                <w:p>
                                  <w:pPr>
                                    <w:pStyle w:val="5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
                                    <w:rPr>
                                      <w:rFonts w:ascii="宋体" w:hAnsi="宋体" w:cs="宋体"/>
                                      <w:sz w:val="29"/>
                                      <w:szCs w:val="29"/>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9"/>
                                    <w:rPr>
                                      <w:rFonts w:ascii="宋体" w:hAnsi="宋体" w:cs="宋体"/>
                                      <w:sz w:val="17"/>
                                      <w:szCs w:val="17"/>
                                    </w:rPr>
                                  </w:pPr>
                                </w:p>
                                <w:p>
                                  <w:pPr>
                                    <w:pStyle w:val="54"/>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pPr>
                                    <w:pStyle w:val="54"/>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pPr>
                                    <w:pStyle w:val="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lang w:eastAsia="zh-CN"/>
                                    </w:rPr>
                                  </w:pPr>
                                </w:p>
                                <w:p>
                                  <w:pPr>
                                    <w:pStyle w:val="54"/>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wps:txbx>
                      <wps:bodyPr rot="0" vert="horz" wrap="square" lIns="0" tIns="0" rIns="0" bIns="0" anchor="t" anchorCtr="0"/>
                    </wps:wsp>
                  </a:graphicData>
                </a:graphic>
              </wp:anchor>
            </w:drawing>
          </mc:Choice>
          <mc:Fallback>
            <w:pict>
              <v:shape id="_x0000_s1026" o:spid="_x0000_s1026" o:spt="202" type="#_x0000_t202" style="position:absolute;left:0pt;margin-left:65.15pt;margin-top:3.6pt;height:651.6pt;width:472pt;mso-position-horizontal-relative:page;z-index:251665408;mso-width-relative:page;mso-height-relative:page;" filled="f" stroked="f" coordsize="21600,21600" o:gfxdata="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WODHj2AAA&#10;AAsBAAAPAAAAAAAAAAEAIAAAACIAAABkcnMvZG93bnJldi54bWxQSwECFAAUAAAACACHTuJAUNZJ&#10;5+UBAAC8AwAADgAAAAAAAAABACAAAAAnAQAAZHJzL2Uyb0RvYy54bWxQSwUGAAAAAAYABgBZAQAA&#10;fgUAAAAA&#10;">
                <v:fill on="f" focussize="0,0"/>
                <v:stroke on="f" weight="1pt"/>
                <v:imagedata o:title=""/>
                <o:lock v:ext="edit" aspectratio="f"/>
                <v:textbox inset="0mm,0mm,0mm,0mm">
                  <w:txbxContent>
                    <w:tbl>
                      <w:tblPr>
                        <w:tblStyle w:val="21"/>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305" w:type="dxa"/>
                            <w:vMerge w:val="restart"/>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166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pPr>
                              <w:pStyle w:val="54"/>
                              <w:spacing w:before="12"/>
                              <w:rPr>
                                <w:rFonts w:ascii="宋体" w:hAnsi="宋体" w:cs="宋体"/>
                                <w:sz w:val="15"/>
                                <w:szCs w:val="15"/>
                              </w:rPr>
                            </w:pPr>
                          </w:p>
                          <w:p>
                            <w:pPr>
                              <w:pStyle w:val="54"/>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spacing w:before="2"/>
                              <w:rPr>
                                <w:rFonts w:ascii="宋体" w:hAnsi="宋体" w:cs="宋体"/>
                                <w:sz w:val="24"/>
                                <w:szCs w:val="24"/>
                                <w:lang w:eastAsia="zh-CN"/>
                              </w:rPr>
                            </w:pPr>
                          </w:p>
                          <w:p>
                            <w:pPr>
                              <w:pStyle w:val="54"/>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19"/>
                                <w:szCs w:val="19"/>
                                <w:lang w:eastAsia="zh-CN"/>
                              </w:rPr>
                            </w:pPr>
                          </w:p>
                          <w:p>
                            <w:pPr>
                              <w:pStyle w:val="54"/>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Calibri" w:hAnsi="Calibri" w:eastAsia="Times New Roman"/>
                                <w:kern w:val="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54"/>
                              <w:spacing w:before="12"/>
                              <w:rPr>
                                <w:rFonts w:ascii="宋体" w:hAnsi="宋体" w:cs="宋体"/>
                                <w:sz w:val="15"/>
                                <w:szCs w:val="15"/>
                                <w:lang w:eastAsia="zh-CN"/>
                              </w:rPr>
                            </w:pPr>
                          </w:p>
                          <w:p>
                            <w:pPr>
                              <w:pStyle w:val="54"/>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pPr>
                              <w:pStyle w:val="54"/>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2"/>
                              <w:rPr>
                                <w:rFonts w:ascii="宋体" w:hAnsi="宋体" w:cs="宋体"/>
                                <w:sz w:val="23"/>
                                <w:szCs w:val="23"/>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rPr>
                                <w:rFonts w:ascii="宋体" w:hAnsi="宋体" w:cs="宋体"/>
                                <w:sz w:val="20"/>
                                <w:szCs w:val="20"/>
                              </w:rPr>
                            </w:pPr>
                          </w:p>
                          <w:p>
                            <w:pPr>
                              <w:pStyle w:val="54"/>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pPr>
                              <w:pStyle w:val="54"/>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pPr>
                              <w:pStyle w:val="54"/>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4"/>
                              <w:rPr>
                                <w:rFonts w:ascii="宋体" w:hAnsi="宋体" w:cs="宋体"/>
                                <w:sz w:val="18"/>
                                <w:szCs w:val="18"/>
                                <w:lang w:eastAsia="zh-CN"/>
                              </w:rPr>
                            </w:pPr>
                          </w:p>
                          <w:p>
                            <w:pPr>
                              <w:pStyle w:val="54"/>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15"/>
                                <w:szCs w:val="15"/>
                                <w:lang w:eastAsia="zh-CN"/>
                              </w:rPr>
                            </w:pPr>
                          </w:p>
                          <w:p>
                            <w:pPr>
                              <w:pStyle w:val="54"/>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15"/>
                                <w:szCs w:val="15"/>
                                <w:lang w:eastAsia="zh-CN"/>
                              </w:rPr>
                            </w:pPr>
                          </w:p>
                          <w:p>
                            <w:pPr>
                              <w:pStyle w:val="54"/>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pPr>
                              <w:pStyle w:val="54"/>
                              <w:spacing w:before="1"/>
                              <w:rPr>
                                <w:rFonts w:ascii="宋体" w:hAnsi="宋体" w:cs="宋体"/>
                                <w:sz w:val="18"/>
                                <w:szCs w:val="18"/>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pPr>
                              <w:pStyle w:val="54"/>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pPr>
                              <w:pStyle w:val="54"/>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pPr>
                              <w:pStyle w:val="54"/>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0"/>
                              <w:rPr>
                                <w:rFonts w:ascii="宋体" w:hAnsi="宋体" w:cs="宋体"/>
                                <w:sz w:val="21"/>
                                <w:szCs w:val="21"/>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spacing w:before="11"/>
                              <w:rPr>
                                <w:rFonts w:ascii="宋体" w:hAnsi="宋体" w:cs="宋体"/>
                                <w:sz w:val="29"/>
                                <w:szCs w:val="29"/>
                              </w:rPr>
                            </w:pPr>
                          </w:p>
                          <w:p>
                            <w:pPr>
                              <w:pStyle w:val="54"/>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pPr>
                              <w:pStyle w:val="54"/>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spacing w:before="11"/>
                              <w:rPr>
                                <w:rFonts w:ascii="宋体" w:hAnsi="宋体" w:cs="宋体"/>
                                <w:sz w:val="29"/>
                                <w:szCs w:val="29"/>
                              </w:rPr>
                            </w:pPr>
                          </w:p>
                          <w:p>
                            <w:pPr>
                              <w:pStyle w:val="54"/>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10"/>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pPr>
                              <w:pStyle w:val="54"/>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pPr>
                              <w:pStyle w:val="54"/>
                              <w:spacing w:before="10"/>
                              <w:rPr>
                                <w:rFonts w:ascii="宋体" w:hAnsi="宋体" w:cs="宋体"/>
                                <w:sz w:val="17"/>
                                <w:szCs w:val="17"/>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pPr>
                              <w:pStyle w:val="54"/>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pPr>
                              <w:pStyle w:val="54"/>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pPr>
                              <w:pStyle w:val="54"/>
                              <w:spacing w:before="10"/>
                              <w:rPr>
                                <w:rFonts w:ascii="宋体" w:hAnsi="宋体" w:cs="宋体"/>
                                <w:sz w:val="17"/>
                                <w:szCs w:val="17"/>
                              </w:rPr>
                            </w:pPr>
                          </w:p>
                          <w:p>
                            <w:pPr>
                              <w:pStyle w:val="54"/>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rPr>
                                <w:rFonts w:ascii="宋体" w:hAnsi="宋体" w:cs="宋体"/>
                                <w:sz w:val="20"/>
                                <w:szCs w:val="20"/>
                                <w:lang w:eastAsia="zh-CN"/>
                              </w:rPr>
                            </w:pPr>
                          </w:p>
                          <w:p>
                            <w:pPr>
                              <w:pStyle w:val="54"/>
                              <w:spacing w:before="1"/>
                              <w:rPr>
                                <w:rFonts w:ascii="宋体" w:hAnsi="宋体" w:cs="宋体"/>
                                <w:sz w:val="29"/>
                                <w:szCs w:val="29"/>
                                <w:lang w:eastAsia="zh-CN"/>
                              </w:rPr>
                            </w:pPr>
                          </w:p>
                          <w:p>
                            <w:pPr>
                              <w:pStyle w:val="54"/>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pPr>
                              <w:pStyle w:val="54"/>
                              <w:rPr>
                                <w:rFonts w:ascii="宋体" w:hAnsi="宋体" w:cs="宋体"/>
                                <w:sz w:val="20"/>
                                <w:szCs w:val="20"/>
                              </w:rPr>
                            </w:pPr>
                          </w:p>
                          <w:p>
                            <w:pPr>
                              <w:pStyle w:val="54"/>
                              <w:rPr>
                                <w:rFonts w:ascii="宋体" w:hAnsi="宋体" w:cs="宋体"/>
                                <w:sz w:val="20"/>
                                <w:szCs w:val="20"/>
                              </w:rPr>
                            </w:pPr>
                          </w:p>
                          <w:p>
                            <w:pPr>
                              <w:pStyle w:val="54"/>
                              <w:spacing w:before="9"/>
                              <w:rPr>
                                <w:rFonts w:ascii="宋体" w:hAnsi="宋体" w:cs="宋体"/>
                                <w:sz w:val="17"/>
                                <w:szCs w:val="17"/>
                              </w:rPr>
                            </w:pPr>
                          </w:p>
                          <w:p>
                            <w:pPr>
                              <w:pStyle w:val="54"/>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pPr>
                              <w:pStyle w:val="54"/>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pPr>
                              <w:pStyle w:val="54"/>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rPr>
                            </w:pPr>
                          </w:p>
                          <w:p>
                            <w:pPr>
                              <w:pStyle w:val="54"/>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Times New Roman" w:cs="宋体"/>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54"/>
                              <w:spacing w:before="5"/>
                              <w:rPr>
                                <w:rFonts w:ascii="宋体" w:hAnsi="宋体" w:cs="宋体"/>
                                <w:sz w:val="21"/>
                                <w:szCs w:val="21"/>
                                <w:lang w:eastAsia="zh-CN"/>
                              </w:rPr>
                            </w:pPr>
                          </w:p>
                          <w:p>
                            <w:pPr>
                              <w:pStyle w:val="54"/>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alibri" w:hAnsi="Calibri" w:eastAsia="宋体"/>
                                <w:kern w:val="2"/>
                              </w:rPr>
                            </w:pPr>
                          </w:p>
                        </w:tc>
                        <w:tc>
                          <w:tcPr>
                            <w:tcW w:w="3765" w:type="dxa"/>
                            <w:tcBorders>
                              <w:top w:val="single" w:color="auto" w:sz="4" w:space="0"/>
                              <w:left w:val="single" w:color="auto" w:sz="4" w:space="0"/>
                              <w:bottom w:val="single" w:color="auto" w:sz="4" w:space="0"/>
                              <w:right w:val="single" w:color="auto" w:sz="4" w:space="0"/>
                            </w:tcBorders>
                          </w:tcPr>
                          <w:p>
                            <w:pPr>
                              <w:pStyle w:val="54"/>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pPr>
                        <w:widowControl w:val="0"/>
                        <w:adjustRightInd/>
                        <w:snapToGrid/>
                        <w:spacing w:after="0"/>
                        <w:jc w:val="both"/>
                        <w:rPr>
                          <w:rFonts w:ascii="Calibri" w:hAnsi="Calibri" w:eastAsia="宋体"/>
                          <w:kern w:val="2"/>
                        </w:rPr>
                      </w:pPr>
                    </w:p>
                  </w:txbxContent>
                </v:textbox>
              </v:shape>
            </w:pict>
          </mc:Fallback>
        </mc:AlternateContent>
      </w: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13" w:after="0"/>
        <w:jc w:val="both"/>
        <w:rPr>
          <w:rFonts w:ascii="宋体" w:hAnsi="宋体" w:eastAsia="宋体" w:cs="宋体"/>
          <w:color w:val="auto"/>
          <w:kern w:val="2"/>
          <w:sz w:val="24"/>
          <w:szCs w:val="24"/>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after="0"/>
        <w:jc w:val="both"/>
        <w:rPr>
          <w:rFonts w:ascii="宋体" w:hAnsi="宋体" w:eastAsia="宋体" w:cs="宋体"/>
          <w:color w:val="auto"/>
          <w:kern w:val="2"/>
          <w:sz w:val="20"/>
          <w:szCs w:val="20"/>
          <w:highlight w:val="none"/>
        </w:rPr>
      </w:pPr>
    </w:p>
    <w:p>
      <w:pPr>
        <w:widowControl w:val="0"/>
        <w:wordWrap w:val="0"/>
        <w:adjustRightInd/>
        <w:snapToGrid/>
        <w:spacing w:before="3" w:after="0"/>
        <w:jc w:val="both"/>
        <w:rPr>
          <w:rFonts w:ascii="宋体" w:hAnsi="宋体" w:eastAsia="宋体" w:cs="宋体"/>
          <w:color w:val="auto"/>
          <w:kern w:val="2"/>
          <w:sz w:val="29"/>
          <w:szCs w:val="29"/>
          <w:highlight w:val="none"/>
        </w:rPr>
      </w:pPr>
    </w:p>
    <w:p>
      <w:pPr>
        <w:wordWrap w:val="0"/>
        <w:adjustRightInd/>
        <w:snapToGrid/>
        <w:spacing w:after="0"/>
        <w:rPr>
          <w:rFonts w:ascii="宋体" w:hAnsi="宋体" w:eastAsia="宋体" w:cs="宋体"/>
          <w:color w:val="auto"/>
          <w:kern w:val="2"/>
          <w:sz w:val="20"/>
          <w:szCs w:val="20"/>
          <w:highlight w:val="none"/>
        </w:rPr>
      </w:pPr>
    </w:p>
    <w:p>
      <w:pPr>
        <w:widowControl w:val="0"/>
        <w:wordWrap w:val="0"/>
        <w:adjustRightInd/>
        <w:snapToGrid/>
        <w:spacing w:before="4" w:after="0"/>
        <w:jc w:val="both"/>
        <w:rPr>
          <w:rFonts w:ascii="宋体" w:hAnsi="宋体" w:eastAsia="宋体" w:cs="宋体"/>
          <w:color w:val="auto"/>
          <w:kern w:val="2"/>
          <w:sz w:val="6"/>
          <w:szCs w:val="6"/>
          <w:highlight w:val="none"/>
        </w:rPr>
      </w:pPr>
      <w:r>
        <w:rPr>
          <w:rFonts w:ascii="宋体" w:hAnsi="宋体" w:eastAsia="宋体" w:cs="宋体"/>
          <w:color w:val="auto"/>
          <w:kern w:val="2"/>
          <w:sz w:val="20"/>
          <w:szCs w:val="20"/>
          <w:highlight w:val="none"/>
        </w:rPr>
        <w:br w:type="page"/>
      </w:r>
    </w:p>
    <w:tbl>
      <w:tblPr>
        <w:tblStyle w:val="21"/>
        <w:tblW w:w="9120" w:type="dxa"/>
        <w:tblInd w:w="-339" w:type="dxa"/>
        <w:tblLayout w:type="fixed"/>
        <w:tblCellMar>
          <w:top w:w="0" w:type="dxa"/>
          <w:left w:w="0" w:type="dxa"/>
          <w:bottom w:w="0" w:type="dxa"/>
          <w:right w:w="0" w:type="dxa"/>
        </w:tblCellMar>
      </w:tblPr>
      <w:tblGrid>
        <w:gridCol w:w="615"/>
        <w:gridCol w:w="1290"/>
        <w:gridCol w:w="2077"/>
        <w:gridCol w:w="1373"/>
        <w:gridCol w:w="3765"/>
      </w:tblGrid>
      <w:tr>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pPr>
              <w:pStyle w:val="54"/>
              <w:wordWrap w:val="0"/>
              <w:spacing w:before="8"/>
              <w:rPr>
                <w:rFonts w:ascii="宋体" w:hAnsi="宋体" w:cs="宋体"/>
                <w:color w:val="auto"/>
                <w:sz w:val="23"/>
                <w:szCs w:val="23"/>
                <w:highlight w:val="none"/>
                <w:lang w:eastAsia="zh-CN"/>
              </w:rPr>
            </w:pPr>
          </w:p>
          <w:p>
            <w:pPr>
              <w:pStyle w:val="54"/>
              <w:wordWrap w:val="0"/>
              <w:ind w:left="182"/>
              <w:rPr>
                <w:rFonts w:ascii="宋体" w:hAnsi="宋体" w:cs="宋体"/>
                <w:color w:val="auto"/>
                <w:sz w:val="20"/>
                <w:szCs w:val="20"/>
                <w:highlight w:val="none"/>
              </w:rPr>
            </w:pPr>
            <w:r>
              <w:rPr>
                <w:rFonts w:hint="eastAsia" w:ascii="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tcPr>
          <w:p>
            <w:pPr>
              <w:pStyle w:val="54"/>
              <w:wordWrap w:val="0"/>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pPr>
              <w:pStyle w:val="54"/>
              <w:wordWrap w:val="0"/>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54"/>
              <w:wordWrap w:val="0"/>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pPr>
              <w:pStyle w:val="54"/>
              <w:wordWrap w:val="0"/>
              <w:spacing w:before="6"/>
              <w:rPr>
                <w:rFonts w:ascii="宋体" w:hAnsi="宋体" w:cs="宋体"/>
                <w:color w:val="auto"/>
                <w:sz w:val="20"/>
                <w:szCs w:val="20"/>
                <w:highlight w:val="none"/>
                <w:lang w:eastAsia="zh-CN"/>
              </w:rPr>
            </w:pPr>
          </w:p>
          <w:p>
            <w:pPr>
              <w:pStyle w:val="54"/>
              <w:wordWrap w:val="0"/>
              <w:ind w:left="182"/>
              <w:rPr>
                <w:rFonts w:ascii="宋体" w:hAnsi="宋体" w:cs="宋体"/>
                <w:color w:val="auto"/>
                <w:sz w:val="20"/>
                <w:szCs w:val="20"/>
                <w:highlight w:val="none"/>
              </w:rPr>
            </w:pPr>
            <w:r>
              <w:rPr>
                <w:rFonts w:hint="eastAsia" w:ascii="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tcPr>
          <w:p>
            <w:pPr>
              <w:pStyle w:val="54"/>
              <w:wordWrap w:val="0"/>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pPr>
              <w:pStyle w:val="54"/>
              <w:wordWrap w:val="0"/>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54"/>
              <w:wordWrap w:val="0"/>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trPr>
          <w:trHeight w:val="902" w:hRule="exact"/>
        </w:trPr>
        <w:tc>
          <w:tcPr>
            <w:tcW w:w="615" w:type="dxa"/>
            <w:tcBorders>
              <w:top w:val="single" w:color="000000" w:sz="4" w:space="0"/>
              <w:left w:val="single" w:color="000000" w:sz="4" w:space="0"/>
              <w:bottom w:val="single" w:color="000000" w:sz="4" w:space="0"/>
              <w:right w:val="single" w:color="000000" w:sz="4" w:space="0"/>
            </w:tcBorders>
          </w:tcPr>
          <w:p>
            <w:pPr>
              <w:pStyle w:val="54"/>
              <w:wordWrap w:val="0"/>
              <w:spacing w:before="12"/>
              <w:rPr>
                <w:rFonts w:ascii="宋体" w:hAnsi="宋体" w:cs="宋体"/>
                <w:color w:val="auto"/>
                <w:sz w:val="21"/>
                <w:szCs w:val="21"/>
                <w:highlight w:val="none"/>
                <w:lang w:eastAsia="zh-CN"/>
              </w:rPr>
            </w:pPr>
          </w:p>
          <w:p>
            <w:pPr>
              <w:pStyle w:val="54"/>
              <w:wordWrap w:val="0"/>
              <w:ind w:left="182"/>
              <w:rPr>
                <w:rFonts w:ascii="宋体" w:hAnsi="宋体" w:cs="宋体"/>
                <w:color w:val="auto"/>
                <w:sz w:val="20"/>
                <w:szCs w:val="20"/>
                <w:highlight w:val="none"/>
              </w:rPr>
            </w:pPr>
            <w:r>
              <w:rPr>
                <w:rFonts w:hint="eastAsia" w:ascii="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tcPr>
          <w:p>
            <w:pPr>
              <w:pStyle w:val="54"/>
              <w:wordWrap w:val="0"/>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pPr>
              <w:pStyle w:val="54"/>
              <w:wordWrap w:val="0"/>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widowControl w:val="0"/>
              <w:wordWrap w:val="0"/>
              <w:adjustRightInd/>
              <w:snapToGrid/>
              <w:spacing w:after="0"/>
              <w:jc w:val="both"/>
              <w:rPr>
                <w:rFonts w:ascii="Calibri" w:hAnsi="Calibri" w:eastAsia="宋体"/>
                <w:color w:val="auto"/>
                <w:kern w:val="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54"/>
              <w:wordWrap w:val="0"/>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pPr>
        <w:widowControl w:val="0"/>
        <w:wordWrap w:val="0"/>
        <w:spacing w:after="120" w:line="360" w:lineRule="auto"/>
        <w:jc w:val="both"/>
        <w:rPr>
          <w:rFonts w:ascii="宋体" w:hAnsi="宋体" w:eastAsia="宋体"/>
          <w:color w:val="auto"/>
          <w:kern w:val="2"/>
          <w:sz w:val="21"/>
          <w:szCs w:val="21"/>
          <w:highlight w:val="none"/>
        </w:rPr>
      </w:pPr>
      <w:r>
        <w:rPr>
          <w:rFonts w:hint="eastAsia" w:ascii="Times New Roman" w:hAnsi="Times New Roman" w:eastAsia="宋体"/>
          <w:color w:val="auto"/>
          <w:spacing w:val="-3"/>
          <w:kern w:val="2"/>
          <w:sz w:val="21"/>
          <w:szCs w:val="21"/>
          <w:highlight w:val="none"/>
        </w:rPr>
        <w:t>注：</w:t>
      </w:r>
      <w:r>
        <w:rPr>
          <w:rFonts w:ascii="Times New Roman" w:hAnsi="Times New Roman" w:eastAsia="宋体"/>
          <w:color w:val="auto"/>
          <w:spacing w:val="-3"/>
          <w:kern w:val="2"/>
          <w:sz w:val="21"/>
          <w:szCs w:val="21"/>
          <w:highlight w:val="none"/>
        </w:rPr>
        <w:t>1.</w:t>
      </w:r>
      <w:r>
        <w:rPr>
          <w:rFonts w:hint="eastAsia" w:ascii="Times New Roman" w:hAnsi="Times New Roman" w:eastAsia="宋体"/>
          <w:color w:val="auto"/>
          <w:spacing w:val="-3"/>
          <w:kern w:val="2"/>
          <w:sz w:val="21"/>
          <w:szCs w:val="21"/>
          <w:highlight w:val="none"/>
        </w:rPr>
        <w:t>节能产品认证应依据相关国家标准的最新版本，依据国家标准中二级能效（水效）</w:t>
      </w:r>
      <w:r>
        <w:rPr>
          <w:rFonts w:hint="eastAsia" w:ascii="Times New Roman" w:hAnsi="Times New Roman" w:eastAsia="宋体"/>
          <w:color w:val="auto"/>
          <w:kern w:val="2"/>
          <w:sz w:val="21"/>
          <w:szCs w:val="21"/>
          <w:highlight w:val="none"/>
        </w:rPr>
        <w:t>指标。</w:t>
      </w:r>
    </w:p>
    <w:p>
      <w:pPr>
        <w:widowControl w:val="0"/>
        <w:wordWrap w:val="0"/>
        <w:spacing w:after="120" w:line="360" w:lineRule="auto"/>
        <w:jc w:val="both"/>
        <w:rPr>
          <w:rFonts w:ascii="Times New Roman" w:hAnsi="Times New Roman" w:eastAsia="宋体"/>
          <w:color w:val="auto"/>
          <w:kern w:val="2"/>
          <w:sz w:val="21"/>
          <w:szCs w:val="21"/>
          <w:highlight w:val="none"/>
        </w:rPr>
      </w:pPr>
      <w:r>
        <w:rPr>
          <w:rFonts w:ascii="Times New Roman" w:hAnsi="Times New Roman" w:eastAsia="宋体"/>
          <w:color w:val="auto"/>
          <w:kern w:val="2"/>
          <w:sz w:val="21"/>
          <w:szCs w:val="21"/>
          <w:highlight w:val="none"/>
        </w:rPr>
        <w:t>2..</w:t>
      </w:r>
      <w:r>
        <w:rPr>
          <w:rFonts w:hint="eastAsia" w:ascii="Times New Roman" w:hAnsi="Times New Roman" w:eastAsia="宋体"/>
          <w:color w:val="auto"/>
          <w:kern w:val="2"/>
          <w:sz w:val="21"/>
          <w:szCs w:val="21"/>
          <w:highlight w:val="none"/>
        </w:rPr>
        <w:t>以</w:t>
      </w:r>
      <w:r>
        <w:rPr>
          <w:rFonts w:ascii="Times New Roman" w:hAnsi="Times New Roman" w:eastAsia="宋体"/>
          <w:color w:val="auto"/>
          <w:kern w:val="2"/>
          <w:sz w:val="21"/>
          <w:szCs w:val="21"/>
          <w:highlight w:val="none"/>
        </w:rPr>
        <w:t>“</w:t>
      </w:r>
      <w:r>
        <w:rPr>
          <w:rFonts w:hint="eastAsia" w:ascii="Times New Roman" w:hAnsi="Times New Roman" w:eastAsia="宋体"/>
          <w:color w:val="auto"/>
          <w:kern w:val="2"/>
          <w:sz w:val="21"/>
          <w:szCs w:val="21"/>
          <w:highlight w:val="none"/>
        </w:rPr>
        <w:t>★</w:t>
      </w:r>
      <w:r>
        <w:rPr>
          <w:rFonts w:ascii="Times New Roman" w:hAnsi="Times New Roman" w:eastAsia="宋体"/>
          <w:color w:val="auto"/>
          <w:kern w:val="2"/>
          <w:sz w:val="21"/>
          <w:szCs w:val="21"/>
          <w:highlight w:val="none"/>
        </w:rPr>
        <w:t>”</w:t>
      </w:r>
      <w:r>
        <w:rPr>
          <w:rFonts w:hint="eastAsia" w:ascii="Times New Roman" w:hAnsi="Times New Roman" w:eastAsia="宋体"/>
          <w:color w:val="auto"/>
          <w:kern w:val="2"/>
          <w:sz w:val="21"/>
          <w:szCs w:val="21"/>
          <w:highlight w:val="none"/>
        </w:rPr>
        <w:t>标注的为政府强制采购产品。</w:t>
      </w:r>
    </w:p>
    <w:p>
      <w:pPr>
        <w:wordWrap w:val="0"/>
        <w:adjustRightInd/>
        <w:snapToGrid/>
        <w:spacing w:after="0"/>
        <w:rPr>
          <w:rFonts w:ascii="宋体" w:hAnsi="宋体" w:eastAsia="宋体" w:cs="宋体"/>
          <w:color w:val="auto"/>
          <w:kern w:val="2"/>
          <w:sz w:val="20"/>
          <w:szCs w:val="20"/>
          <w:highlight w:val="none"/>
        </w:rPr>
      </w:pPr>
    </w:p>
    <w:p>
      <w:pPr>
        <w:keepNext/>
        <w:keepLines/>
        <w:widowControl w:val="0"/>
        <w:wordWrap w:val="0"/>
        <w:spacing w:before="340" w:after="330" w:line="578" w:lineRule="auto"/>
        <w:jc w:val="center"/>
        <w:outlineLvl w:val="0"/>
        <w:rPr>
          <w:rFonts w:ascii="宋体" w:hAnsi="宋体" w:eastAsia="宋体" w:cs="宋体"/>
          <w:b/>
          <w:bCs/>
          <w:color w:val="auto"/>
          <w:kern w:val="44"/>
          <w:sz w:val="20"/>
          <w:szCs w:val="20"/>
          <w:highlight w:val="none"/>
        </w:rPr>
      </w:pPr>
      <w:bookmarkStart w:id="50" w:name="_Hlk68601507"/>
      <w:bookmarkEnd w:id="50"/>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jc w:val="both"/>
        <w:rPr>
          <w:rFonts w:ascii="宋体" w:hAnsi="宋体" w:eastAsia="宋体" w:cs="宋体"/>
          <w:color w:val="auto"/>
          <w:kern w:val="2"/>
          <w:sz w:val="20"/>
          <w:szCs w:val="20"/>
          <w:highlight w:val="none"/>
        </w:rPr>
      </w:pPr>
    </w:p>
    <w:p>
      <w:pPr>
        <w:widowControl w:val="0"/>
        <w:adjustRightInd/>
        <w:snapToGrid/>
        <w:spacing w:after="0"/>
        <w:rPr>
          <w:rFonts w:ascii="宋体" w:hAnsi="宋体" w:eastAsia="宋体" w:cs="宋体"/>
          <w:color w:val="auto"/>
          <w:kern w:val="2"/>
          <w:sz w:val="20"/>
          <w:szCs w:val="20"/>
          <w:highlight w:val="none"/>
        </w:rPr>
      </w:pPr>
      <w:r>
        <w:rPr>
          <w:rFonts w:hint="eastAsia" w:ascii="黑体" w:hAnsi="黑体" w:eastAsia="黑体" w:cs="黑体"/>
          <w:color w:val="auto"/>
          <w:kern w:val="2"/>
          <w:sz w:val="32"/>
          <w:szCs w:val="32"/>
          <w:highlight w:val="none"/>
        </w:rPr>
        <w:t>附件二：</w:t>
      </w:r>
    </w:p>
    <w:p>
      <w:pPr>
        <w:widowControl w:val="0"/>
        <w:adjustRightInd/>
        <w:snapToGrid/>
        <w:spacing w:after="0"/>
        <w:rPr>
          <w:rFonts w:ascii="宋体" w:hAnsi="宋体" w:eastAsia="宋体" w:cs="宋体"/>
          <w:color w:val="auto"/>
          <w:kern w:val="2"/>
          <w:sz w:val="20"/>
          <w:szCs w:val="20"/>
          <w:highlight w:val="none"/>
        </w:rPr>
      </w:pPr>
    </w:p>
    <w:p>
      <w:pPr>
        <w:adjustRightInd/>
        <w:snapToGrid/>
        <w:spacing w:before="165" w:beforeLines="50" w:after="165" w:afterLines="50" w:line="280" w:lineRule="exact"/>
        <w:jc w:val="center"/>
        <w:rPr>
          <w:rFonts w:ascii="Times New Roman" w:hAnsi="Times New Roman" w:eastAsia="宋体"/>
          <w:b/>
          <w:bCs/>
          <w:color w:val="auto"/>
          <w:sz w:val="30"/>
          <w:szCs w:val="30"/>
          <w:highlight w:val="none"/>
        </w:rPr>
      </w:pPr>
      <w:bookmarkStart w:id="51" w:name="_Toc28361_WPSOffice_Level2"/>
      <w:r>
        <w:rPr>
          <w:rFonts w:ascii="Times New Roman" w:hAnsi="Times New Roman" w:eastAsia="宋体"/>
          <w:b/>
          <w:bCs/>
          <w:color w:val="auto"/>
          <w:sz w:val="30"/>
          <w:szCs w:val="30"/>
          <w:highlight w:val="none"/>
        </w:rPr>
        <w:t>统计上大中小微型企业划分标准</w:t>
      </w:r>
      <w:bookmarkEnd w:id="51"/>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21"/>
                <w:highlight w:val="none"/>
              </w:rPr>
            </w:pPr>
            <w:r>
              <w:rPr>
                <w:rFonts w:ascii="Times New Roman" w:hAnsi="Times New Roman" w:eastAsia="宋体"/>
                <w:b/>
                <w:bCs/>
                <w:color w:val="auto"/>
                <w:sz w:val="18"/>
                <w:szCs w:val="21"/>
                <w:highlight w:val="none"/>
              </w:rPr>
              <w:t>行业名称</w:t>
            </w:r>
          </w:p>
        </w:tc>
        <w:tc>
          <w:tcPr>
            <w:tcW w:w="1369"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指标名称</w:t>
            </w:r>
          </w:p>
        </w:tc>
        <w:tc>
          <w:tcPr>
            <w:tcW w:w="709"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计量</w:t>
            </w:r>
          </w:p>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单位</w:t>
            </w:r>
          </w:p>
        </w:tc>
        <w:tc>
          <w:tcPr>
            <w:tcW w:w="1125"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大型</w:t>
            </w:r>
          </w:p>
        </w:tc>
        <w:tc>
          <w:tcPr>
            <w:tcW w:w="1701"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中型</w:t>
            </w:r>
          </w:p>
        </w:tc>
        <w:tc>
          <w:tcPr>
            <w:tcW w:w="1426"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小型</w:t>
            </w:r>
          </w:p>
        </w:tc>
        <w:tc>
          <w:tcPr>
            <w:tcW w:w="992" w:type="dxa"/>
            <w:shd w:val="clear" w:color="auto" w:fill="8DB3E2"/>
            <w:vAlign w:val="center"/>
          </w:tcPr>
          <w:p>
            <w:pPr>
              <w:adjustRightInd/>
              <w:snapToGrid/>
              <w:spacing w:after="0" w:line="280" w:lineRule="exact"/>
              <w:jc w:val="center"/>
              <w:rPr>
                <w:rFonts w:ascii="Times New Roman" w:hAnsi="Times New Roman" w:eastAsia="宋体"/>
                <w:b/>
                <w:bCs/>
                <w:color w:val="auto"/>
                <w:sz w:val="18"/>
                <w:szCs w:val="18"/>
                <w:highlight w:val="none"/>
              </w:rPr>
            </w:pPr>
            <w:r>
              <w:rPr>
                <w:rFonts w:ascii="Times New Roman" w:hAnsi="Times New Roman" w:eastAsia="宋体"/>
                <w:b/>
                <w:bCs/>
                <w:color w:val="auto"/>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农、林、牧、渔业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500≤Y＜20000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50≤Y＜500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工业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Y≥40000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2000≤Y＜40000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建筑业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Y≥80000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6000≤Y＜80000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300≤Y＜6000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资产总额(Z)</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Z≥80000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5000≤Z＜80000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300≤Z＜5000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批发业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20≤X＜200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5≤X＜20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Y≥40000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5000≤Y＜40000</w:t>
            </w:r>
          </w:p>
        </w:tc>
        <w:tc>
          <w:tcPr>
            <w:tcW w:w="1426" w:type="dxa"/>
            <w:vAlign w:val="center"/>
          </w:tcPr>
          <w:p>
            <w:pPr>
              <w:adjustRightInd/>
              <w:snapToGrid/>
              <w:spacing w:after="0" w:line="280" w:lineRule="exact"/>
              <w:ind w:left="-1" w:leftChars="-1" w:hanging="1"/>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1000≤Y＜5000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零售业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50≤X＜300</w:t>
            </w:r>
          </w:p>
        </w:tc>
        <w:tc>
          <w:tcPr>
            <w:tcW w:w="1426" w:type="dxa"/>
            <w:vAlign w:val="center"/>
          </w:tcPr>
          <w:p>
            <w:pPr>
              <w:adjustRightInd/>
              <w:snapToGrid/>
              <w:spacing w:after="0" w:line="280" w:lineRule="exact"/>
              <w:ind w:left="-1" w:leftChars="-1" w:hanging="1"/>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 xml:space="preserve">10≤X＜50 </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500≤Y＜20000</w:t>
            </w:r>
          </w:p>
        </w:tc>
        <w:tc>
          <w:tcPr>
            <w:tcW w:w="1426" w:type="dxa"/>
            <w:vAlign w:val="center"/>
          </w:tcPr>
          <w:p>
            <w:pPr>
              <w:adjustRightInd/>
              <w:snapToGrid/>
              <w:spacing w:after="0" w:line="280" w:lineRule="exact"/>
              <w:ind w:left="-1" w:leftChars="-1" w:hanging="1"/>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100≤Y＜500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交通运输业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3000≤Y＜30000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200≤Y＜3000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仓储业*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100≤X＜200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1000≤Y＜30000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邮政业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Y≥30000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2000≤Y＜30000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住宿业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餐饮业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 xml:space="preserve">100≤X＜300 </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2000≤Y＜10000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100≤Y＜2000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信息传输业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X≥2000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100≤X＜2000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1000≤Y＜100000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pacing w:val="-12"/>
                <w:sz w:val="18"/>
                <w:szCs w:val="18"/>
                <w:highlight w:val="none"/>
              </w:rPr>
            </w:pPr>
            <w:r>
              <w:rPr>
                <w:rFonts w:ascii="Times New Roman" w:hAnsi="Times New Roman" w:eastAsia="宋体"/>
                <w:color w:val="auto"/>
                <w:spacing w:val="-12"/>
                <w:sz w:val="18"/>
                <w:szCs w:val="18"/>
                <w:highlight w:val="none"/>
              </w:rPr>
              <w:t>软件和信息技术服</w:t>
            </w:r>
            <w:r>
              <w:rPr>
                <w:rFonts w:ascii="Times New Roman" w:hAnsi="Times New Roman" w:eastAsia="宋体"/>
                <w:color w:val="auto"/>
                <w:sz w:val="18"/>
                <w:szCs w:val="18"/>
                <w:highlight w:val="none"/>
              </w:rPr>
              <w:t>务业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 xml:space="preserve">100≤X＜300 </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pacing w:val="-12"/>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房地产开发经营</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Y≥200000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1000≤Y＜200000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资产总额(Z)</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Z≥10000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5000≤Z＜10000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2000≤Z＜5000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物业管理</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300≤X＜1000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营业收入(Y)</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1000≤Y＜5000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500≤Y＜1000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租赁和商务服务业</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adjustRightInd/>
              <w:snapToGrid/>
              <w:spacing w:after="0" w:line="280" w:lineRule="exact"/>
              <w:rPr>
                <w:rFonts w:ascii="Times New Roman" w:hAnsi="Times New Roman" w:eastAsia="宋体"/>
                <w:color w:val="auto"/>
                <w:sz w:val="18"/>
                <w:szCs w:val="18"/>
                <w:highlight w:val="none"/>
              </w:rPr>
            </w:pP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资产总额(Z)</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万元</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Z≥120000</w:t>
            </w:r>
          </w:p>
        </w:tc>
        <w:tc>
          <w:tcPr>
            <w:tcW w:w="1701"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8000≤Z＜120000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100≤Z＜8000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Align w:val="center"/>
          </w:tcPr>
          <w:p>
            <w:pPr>
              <w:adjustRightInd/>
              <w:snapToGrid/>
              <w:spacing w:after="0" w:line="280" w:lineRule="exact"/>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其他未列明行业 *</w:t>
            </w:r>
          </w:p>
        </w:tc>
        <w:tc>
          <w:tcPr>
            <w:tcW w:w="136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从业人员(X)</w:t>
            </w:r>
          </w:p>
        </w:tc>
        <w:tc>
          <w:tcPr>
            <w:tcW w:w="709"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人</w:t>
            </w:r>
          </w:p>
        </w:tc>
        <w:tc>
          <w:tcPr>
            <w:tcW w:w="1125"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X≥300</w:t>
            </w:r>
          </w:p>
        </w:tc>
        <w:tc>
          <w:tcPr>
            <w:tcW w:w="1701" w:type="dxa"/>
            <w:vAlign w:val="center"/>
          </w:tcPr>
          <w:p>
            <w:pPr>
              <w:adjustRightInd/>
              <w:snapToGrid/>
              <w:spacing w:after="0" w:line="280" w:lineRule="exact"/>
              <w:ind w:left="-4" w:leftChars="-51" w:hanging="108" w:hangingChars="60"/>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100≤X＜300</w:t>
            </w:r>
          </w:p>
        </w:tc>
        <w:tc>
          <w:tcPr>
            <w:tcW w:w="1426"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10≤X＜100</w:t>
            </w:r>
          </w:p>
        </w:tc>
        <w:tc>
          <w:tcPr>
            <w:tcW w:w="992" w:type="dxa"/>
            <w:vAlign w:val="center"/>
          </w:tcPr>
          <w:p>
            <w:pPr>
              <w:adjustRightInd/>
              <w:snapToGrid/>
              <w:spacing w:after="0" w:line="28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X＜10</w:t>
            </w:r>
          </w:p>
        </w:tc>
      </w:tr>
    </w:tbl>
    <w:p>
      <w:pPr>
        <w:adjustRightInd/>
        <w:snapToGrid/>
        <w:spacing w:after="0" w:line="480" w:lineRule="auto"/>
        <w:jc w:val="both"/>
        <w:rPr>
          <w:rFonts w:ascii="Times New Roman" w:hAnsi="Times New Roman" w:eastAsia="宋体"/>
          <w:color w:val="auto"/>
          <w:spacing w:val="8"/>
          <w:sz w:val="21"/>
          <w:szCs w:val="21"/>
          <w:highlight w:val="none"/>
        </w:rPr>
      </w:pPr>
    </w:p>
    <w:p>
      <w:pPr>
        <w:adjustRightInd/>
        <w:snapToGrid/>
        <w:spacing w:after="0" w:line="480" w:lineRule="auto"/>
        <w:jc w:val="both"/>
        <w:rPr>
          <w:rFonts w:ascii="Times New Roman" w:hAnsi="Times New Roman" w:eastAsia="宋体"/>
          <w:color w:val="auto"/>
          <w:spacing w:val="8"/>
          <w:sz w:val="21"/>
          <w:szCs w:val="21"/>
          <w:highlight w:val="none"/>
        </w:rPr>
      </w:pPr>
      <w:r>
        <w:rPr>
          <w:rFonts w:ascii="Times New Roman" w:hAnsi="Times New Roman" w:eastAsia="宋体"/>
          <w:color w:val="auto"/>
          <w:spacing w:val="8"/>
          <w:sz w:val="21"/>
          <w:szCs w:val="21"/>
          <w:highlight w:val="none"/>
        </w:rPr>
        <w:t>说明：</w:t>
      </w:r>
    </w:p>
    <w:p>
      <w:pPr>
        <w:widowControl w:val="0"/>
        <w:snapToGrid/>
        <w:spacing w:after="0" w:line="480" w:lineRule="auto"/>
        <w:ind w:firstLine="432" w:firstLineChars="200"/>
        <w:contextualSpacing/>
        <w:jc w:val="both"/>
        <w:rPr>
          <w:rFonts w:ascii="Times New Roman" w:hAnsi="Times New Roman" w:eastAsia="宋体"/>
          <w:color w:val="auto"/>
          <w:spacing w:val="8"/>
          <w:sz w:val="20"/>
          <w:szCs w:val="21"/>
          <w:highlight w:val="none"/>
        </w:rPr>
      </w:pPr>
      <w:r>
        <w:rPr>
          <w:rFonts w:ascii="Times New Roman" w:hAnsi="Times New Roman" w:eastAsia="宋体"/>
          <w:color w:val="auto"/>
          <w:spacing w:val="8"/>
          <w:sz w:val="20"/>
          <w:szCs w:val="21"/>
          <w:highlight w:val="none"/>
        </w:rPr>
        <w:t>1.大型、中型和小型企业须同时满足所列指标的下限，否则下划一档；微型企业只须满足所列指标中的一项即可。</w:t>
      </w:r>
    </w:p>
    <w:p>
      <w:pPr>
        <w:widowControl w:val="0"/>
        <w:snapToGrid/>
        <w:spacing w:after="0" w:line="480" w:lineRule="auto"/>
        <w:ind w:firstLine="432" w:firstLineChars="200"/>
        <w:contextualSpacing/>
        <w:jc w:val="both"/>
        <w:rPr>
          <w:rFonts w:ascii="Times New Roman" w:hAnsi="Times New Roman" w:eastAsia="宋体"/>
          <w:color w:val="auto"/>
          <w:spacing w:val="8"/>
          <w:sz w:val="20"/>
          <w:szCs w:val="21"/>
          <w:highlight w:val="none"/>
        </w:rPr>
      </w:pPr>
      <w:r>
        <w:rPr>
          <w:rFonts w:ascii="Times New Roman" w:hAnsi="Times New Roman" w:eastAsia="宋体"/>
          <w:color w:val="auto"/>
          <w:spacing w:val="8"/>
          <w:sz w:val="2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val="0"/>
        <w:adjustRightInd/>
        <w:snapToGrid/>
        <w:spacing w:after="0" w:line="480" w:lineRule="auto"/>
        <w:ind w:firstLine="432" w:firstLineChars="200"/>
        <w:jc w:val="both"/>
        <w:rPr>
          <w:rFonts w:ascii="Times New Roman" w:hAnsi="Times New Roman" w:eastAsia="宋体"/>
          <w:color w:val="auto"/>
          <w:spacing w:val="8"/>
          <w:sz w:val="20"/>
          <w:szCs w:val="21"/>
          <w:highlight w:val="none"/>
        </w:rPr>
      </w:pPr>
      <w:r>
        <w:rPr>
          <w:rFonts w:ascii="Times New Roman" w:hAnsi="Times New Roman" w:eastAsia="宋体"/>
          <w:color w:val="auto"/>
          <w:spacing w:val="8"/>
          <w:sz w:val="2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widowControl w:val="0"/>
        <w:adjustRightInd/>
        <w:snapToGrid/>
        <w:spacing w:after="0" w:line="480" w:lineRule="auto"/>
        <w:ind w:firstLine="432" w:firstLineChars="200"/>
        <w:jc w:val="both"/>
        <w:rPr>
          <w:rFonts w:ascii="Times New Roman" w:hAnsi="Times New Roman" w:eastAsia="宋体"/>
          <w:color w:val="auto"/>
          <w:spacing w:val="8"/>
          <w:sz w:val="20"/>
          <w:szCs w:val="21"/>
          <w:highlight w:val="none"/>
        </w:rPr>
      </w:pP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r>
        <w:rPr>
          <w:rFonts w:hint="eastAsia" w:ascii="Times New Roman" w:hAnsi="Times New Roman" w:eastAsia="宋体"/>
          <w:color w:val="auto"/>
          <w:spacing w:val="8"/>
          <w:sz w:val="20"/>
          <w:szCs w:val="21"/>
          <w:highlight w:val="none"/>
          <w:lang w:eastAsia="zh-CN"/>
        </w:rPr>
        <w:tab/>
      </w: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p>
    <w:p>
      <w:pPr>
        <w:keepNext/>
        <w:tabs>
          <w:tab w:val="left" w:pos="426"/>
        </w:tabs>
        <w:spacing w:line="360" w:lineRule="auto"/>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第四章  合同协议书</w:t>
      </w:r>
    </w:p>
    <w:p>
      <w:pPr>
        <w:autoSpaceDE w:val="0"/>
        <w:autoSpaceDN w:val="0"/>
        <w:spacing w:line="200" w:lineRule="exact"/>
        <w:rPr>
          <w:rFonts w:ascii="宋体" w:hAnsi="宋体" w:eastAsia="宋体" w:cs="宋体"/>
          <w:color w:val="auto"/>
          <w:sz w:val="28"/>
          <w:highlight w:val="none"/>
        </w:rPr>
      </w:pPr>
    </w:p>
    <w:p>
      <w:pPr>
        <w:spacing w:line="28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合同协议书（格式）</w:t>
      </w:r>
    </w:p>
    <w:p>
      <w:pPr>
        <w:wordWrap w:val="0"/>
        <w:adjustRightInd/>
        <w:spacing w:line="360" w:lineRule="auto"/>
        <w:ind w:right="332"/>
        <w:jc w:val="both"/>
        <w:rPr>
          <w:rFonts w:ascii="宋体" w:hAnsi="宋体" w:eastAsia="宋体" w:cs="宋体"/>
          <w:bCs/>
          <w:color w:val="auto"/>
          <w:sz w:val="24"/>
          <w:szCs w:val="24"/>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 w:val="24"/>
          <w:szCs w:val="24"/>
          <w:highlight w:val="none"/>
        </w:rPr>
        <w:t xml:space="preserve">                                             </w:t>
      </w:r>
    </w:p>
    <w:p>
      <w:pPr>
        <w:spacing w:after="0" w:line="40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项目名称</w:t>
      </w:r>
      <w:r>
        <w:rPr>
          <w:rStyle w:val="45"/>
          <w:rFonts w:hint="eastAsia" w:ascii="宋体" w:hAnsi="宋体" w:eastAsia="宋体" w:cs="宋体"/>
          <w:color w:val="auto"/>
          <w:spacing w:val="-20"/>
          <w:szCs w:val="21"/>
          <w:highlight w:val="none"/>
        </w:rPr>
        <w:t>：</w:t>
      </w:r>
    </w:p>
    <w:p>
      <w:pPr>
        <w:spacing w:after="0" w:line="40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项目编号</w:t>
      </w:r>
      <w:r>
        <w:rPr>
          <w:rStyle w:val="45"/>
          <w:rFonts w:hint="eastAsia" w:ascii="宋体" w:hAnsi="宋体" w:eastAsia="宋体" w:cs="宋体"/>
          <w:color w:val="auto"/>
          <w:spacing w:val="-20"/>
          <w:szCs w:val="21"/>
          <w:highlight w:val="none"/>
        </w:rPr>
        <w:t>：</w:t>
      </w:r>
    </w:p>
    <w:p>
      <w:pPr>
        <w:spacing w:after="0" w:line="40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采购单位（甲方）：</w:t>
      </w:r>
      <w:r>
        <w:rPr>
          <w:rStyle w:val="45"/>
          <w:rFonts w:hint="eastAsia" w:ascii="宋体" w:hAnsi="宋体" w:eastAsia="宋体" w:cs="宋体"/>
          <w:color w:val="auto"/>
          <w:szCs w:val="21"/>
          <w:highlight w:val="none"/>
          <w:u w:val="single" w:color="000000"/>
        </w:rPr>
        <w:t xml:space="preserve">                  </w:t>
      </w:r>
    </w:p>
    <w:p>
      <w:pPr>
        <w:spacing w:after="0" w:line="40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供 应 商（乙方）：</w:t>
      </w:r>
      <w:r>
        <w:rPr>
          <w:rStyle w:val="45"/>
          <w:rFonts w:hint="eastAsia" w:ascii="宋体" w:hAnsi="宋体" w:eastAsia="宋体" w:cs="宋体"/>
          <w:color w:val="auto"/>
          <w:szCs w:val="21"/>
          <w:highlight w:val="none"/>
          <w:u w:val="single" w:color="000000"/>
        </w:rPr>
        <w:t xml:space="preserve">                  </w:t>
      </w:r>
    </w:p>
    <w:p>
      <w:pPr>
        <w:spacing w:after="0" w:line="40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签订地点：                                    签订时间：   年  月  日</w:t>
      </w:r>
    </w:p>
    <w:p>
      <w:pPr>
        <w:spacing w:after="0" w:line="400" w:lineRule="exact"/>
        <w:ind w:firstLine="420" w:firstLineChars="200"/>
        <w:jc w:val="both"/>
        <w:textAlignment w:val="baseline"/>
        <w:rPr>
          <w:rStyle w:val="45"/>
          <w:rFonts w:ascii="宋体" w:hAnsi="宋体" w:eastAsia="宋体" w:cs="宋体"/>
          <w:color w:val="auto"/>
          <w:szCs w:val="21"/>
          <w:highlight w:val="none"/>
        </w:rPr>
      </w:pP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根据《中华人民共和国政府采购法》、《中华人民共和国民法典》等法律、法规规定，按照招投标文件（采购文件）规定条款和中标投标人承诺，甲乙双方签订本合同。</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第一条　合同标的</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1.供货一览表</w:t>
      </w:r>
    </w:p>
    <w:tbl>
      <w:tblPr>
        <w:tblStyle w:val="21"/>
        <w:tblW w:w="930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200"/>
        <w:gridCol w:w="860"/>
        <w:gridCol w:w="1233"/>
        <w:gridCol w:w="1210"/>
        <w:gridCol w:w="908"/>
        <w:gridCol w:w="668"/>
        <w:gridCol w:w="947"/>
        <w:gridCol w:w="1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产品名称</w:t>
            </w: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商标品牌</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规格型号</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生产厂家</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数  量</w:t>
            </w:r>
          </w:p>
        </w:tc>
        <w:tc>
          <w:tcPr>
            <w:tcW w:w="66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单位</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单  价</w:t>
            </w:r>
          </w:p>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（元）</w:t>
            </w: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金  额</w:t>
            </w:r>
          </w:p>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5"/>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5"/>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9300" w:type="dxa"/>
            <w:gridSpan w:val="9"/>
            <w:tcBorders>
              <w:top w:val="single" w:color="000000" w:sz="4" w:space="0"/>
              <w:left w:val="single" w:color="000000" w:sz="4" w:space="0"/>
              <w:bottom w:val="single" w:color="000000" w:sz="4" w:space="0"/>
              <w:right w:val="single" w:color="000000" w:sz="4" w:space="0"/>
            </w:tcBorders>
            <w:vAlign w:val="center"/>
          </w:tcPr>
          <w:p>
            <w:pPr>
              <w:spacing w:after="0" w:line="420" w:lineRule="exact"/>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人民币合计金额：</w:t>
            </w:r>
          </w:p>
        </w:tc>
      </w:tr>
    </w:tbl>
    <w:p>
      <w:pPr>
        <w:spacing w:after="0" w:line="420" w:lineRule="exact"/>
        <w:ind w:right="52"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2.合同合计金额包括货物价款，备件、专用工具、安装、调试、检验、技术培训及技术资料和包装、运输等全部费用。如招投标文件对其另有规定的，从其规定。</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第二条　质量保证</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1.乙方所提供的货物型号、技术规格、技术参数等质量必须与招投标文件和承诺相一致。乙方提供的自主创新产品、节能和环保产品必须是列入政府采购清单的产品。</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2.乙方所提供的货物必须是全新、未使用的原装产品，且在正常安装、使用和保养条件下，其使用寿命期内各项指标均达到质量要求。</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第三条　权利保证</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乙方应保证所提供货物在使用时不会侵犯任何第三方的专利权、商标权、工业设计权或其他权利。</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乙方应按招标文件规定的时间向甲方提供使用货物的有关技术资料。</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乙方保证所交付的货物的所有权完全属于乙方且无任何抵押、质押、查封等产权瑕疵。</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第四条　包装和运输</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1.乙方提供的货物均应按招投标文件要求的包装材料、包装标准、包装方式进行包装，每一包装单元内应附详细的装箱单和质量合格证。</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2.货物的运输方式：</w:t>
      </w:r>
      <w:r>
        <w:rPr>
          <w:rStyle w:val="45"/>
          <w:rFonts w:hint="eastAsia" w:ascii="宋体" w:hAnsi="宋体" w:eastAsia="宋体" w:cs="宋体"/>
          <w:color w:val="auto"/>
          <w:szCs w:val="21"/>
          <w:highlight w:val="none"/>
          <w:u w:val="single" w:color="000000"/>
        </w:rPr>
        <w:t xml:space="preserve">  不限   </w:t>
      </w:r>
      <w:r>
        <w:rPr>
          <w:rStyle w:val="45"/>
          <w:rFonts w:hint="eastAsia" w:ascii="宋体" w:hAnsi="宋体" w:eastAsia="宋体" w:cs="宋体"/>
          <w:color w:val="auto"/>
          <w:szCs w:val="21"/>
          <w:highlight w:val="none"/>
        </w:rPr>
        <w:t>。</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3.乙方负责货物运输，货物运输合理损耗及计算方法：</w:t>
      </w:r>
      <w:r>
        <w:rPr>
          <w:rStyle w:val="45"/>
          <w:rFonts w:hint="eastAsia" w:ascii="宋体" w:hAnsi="宋体" w:eastAsia="宋体" w:cs="宋体"/>
          <w:color w:val="auto"/>
          <w:szCs w:val="21"/>
          <w:highlight w:val="none"/>
          <w:u w:val="single" w:color="000000"/>
        </w:rPr>
        <w:t xml:space="preserve">  本项目合同不接受损耗 </w:t>
      </w:r>
      <w:r>
        <w:rPr>
          <w:rStyle w:val="45"/>
          <w:rFonts w:hint="eastAsia" w:ascii="宋体" w:hAnsi="宋体" w:eastAsia="宋体" w:cs="宋体"/>
          <w:color w:val="auto"/>
          <w:szCs w:val="21"/>
          <w:highlight w:val="none"/>
        </w:rPr>
        <w:t>。</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第五条　交付和验收</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1.交付时间：合同签订之日起</w:t>
      </w:r>
      <w:r>
        <w:rPr>
          <w:rStyle w:val="45"/>
          <w:rFonts w:hint="eastAsia" w:ascii="宋体" w:hAnsi="宋体" w:eastAsia="宋体" w:cs="宋体"/>
          <w:color w:val="auto"/>
          <w:szCs w:val="21"/>
          <w:highlight w:val="none"/>
          <w:lang w:val="en-US"/>
        </w:rPr>
        <w:t>2</w:t>
      </w:r>
      <w:r>
        <w:rPr>
          <w:rStyle w:val="45"/>
          <w:rFonts w:hint="eastAsia" w:ascii="宋体" w:hAnsi="宋体" w:eastAsia="宋体" w:cs="宋体"/>
          <w:color w:val="auto"/>
          <w:szCs w:val="21"/>
          <w:highlight w:val="none"/>
        </w:rPr>
        <w:t>0日内完成供货，调试，通过验收并交付使用。</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2.交付地点：采购人指定地点。</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3.乙方提供不符合招投标文件和本合同规定的货物，甲方有权拒绝接受。</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4.乙方应将所提供货物的装箱清单、用户手册、原厂保修卡、随机资料、工具和备品、备件等交付给甲方，如有缺失应及时补齐，否则视为逾期交货。</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5.甲方应当在到货（安装、调试完）后七个工作日内进行验收，逾期不验收的，乙方可视同验收合格。验收合格后由甲乙双方签署货物验收单并加盖采购单位公章，甲乙双方各执一份。</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6.甲方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7.甲方对验收有异议的，在验收后十个工作日内以书面形式向乙方提出，乙方应自收到甲方书面异议后</w:t>
      </w:r>
      <w:r>
        <w:rPr>
          <w:rStyle w:val="45"/>
          <w:rFonts w:hint="eastAsia" w:ascii="宋体" w:hAnsi="宋体" w:eastAsia="宋体" w:cs="宋体"/>
          <w:color w:val="auto"/>
          <w:szCs w:val="21"/>
          <w:highlight w:val="none"/>
          <w:u w:val="single" w:color="000000"/>
        </w:rPr>
        <w:t xml:space="preserve"> 10个工作 </w:t>
      </w:r>
      <w:r>
        <w:rPr>
          <w:rStyle w:val="45"/>
          <w:rFonts w:hint="eastAsia" w:ascii="宋体" w:hAnsi="宋体" w:eastAsia="宋体" w:cs="宋体"/>
          <w:color w:val="auto"/>
          <w:szCs w:val="21"/>
          <w:highlight w:val="none"/>
        </w:rPr>
        <w:t>日内及时予以解决。</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第六条　安装和培训</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1.甲方应协调解决必要安装条件（如场地、电源、水源等）。</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2.乙方负责甲方有关人员的培训。培训时间、地点：</w:t>
      </w:r>
      <w:r>
        <w:rPr>
          <w:rStyle w:val="45"/>
          <w:rFonts w:hint="eastAsia" w:ascii="宋体" w:hAnsi="宋体" w:eastAsia="宋体" w:cs="宋体"/>
          <w:color w:val="auto"/>
          <w:szCs w:val="21"/>
          <w:highlight w:val="none"/>
          <w:u w:val="single" w:color="000000"/>
        </w:rPr>
        <w:t>见《售后服务承诺书》。</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第七条  售后服务、质保期</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1.乙方应按照国家有关法律法规和“三包”规定以及招投标文件和本合同所附的《服务承诺》，为甲方提供售后服务。</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2.货物质保期：</w:t>
      </w:r>
      <w:r>
        <w:rPr>
          <w:rStyle w:val="45"/>
          <w:rFonts w:hint="eastAsia" w:ascii="宋体" w:hAnsi="宋体" w:eastAsia="宋体" w:cs="宋体"/>
          <w:color w:val="auto"/>
          <w:szCs w:val="21"/>
          <w:highlight w:val="none"/>
          <w:u w:val="single" w:color="000000"/>
        </w:rPr>
        <w:t xml:space="preserve">                。</w:t>
      </w:r>
    </w:p>
    <w:p>
      <w:pPr>
        <w:spacing w:after="0" w:line="420" w:lineRule="exact"/>
        <w:ind w:firstLine="420" w:firstLineChars="200"/>
        <w:jc w:val="both"/>
        <w:textAlignment w:val="baseline"/>
        <w:rPr>
          <w:rStyle w:val="45"/>
          <w:rFonts w:ascii="宋体" w:hAnsi="宋体" w:eastAsia="宋体" w:cs="宋体"/>
          <w:color w:val="auto"/>
          <w:szCs w:val="21"/>
          <w:highlight w:val="none"/>
          <w:u w:val="single"/>
        </w:rPr>
      </w:pPr>
      <w:r>
        <w:rPr>
          <w:rStyle w:val="45"/>
          <w:rFonts w:hint="eastAsia" w:ascii="宋体" w:hAnsi="宋体" w:eastAsia="宋体" w:cs="宋体"/>
          <w:color w:val="auto"/>
          <w:szCs w:val="21"/>
          <w:highlight w:val="none"/>
        </w:rPr>
        <w:t>3.乙方提供的服务承诺和售后服务及保修期责任等其它具体约定事项。（见合同附件）</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第八条　付款方式</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bCs/>
          <w:color w:val="auto"/>
          <w:szCs w:val="21"/>
          <w:highlight w:val="none"/>
        </w:rPr>
        <w:t>1.</w:t>
      </w:r>
      <w:r>
        <w:rPr>
          <w:rStyle w:val="45"/>
          <w:rFonts w:hint="eastAsia" w:hAnsi="宋体" w:eastAsia="宋体" w:cs="宋体"/>
          <w:color w:val="auto"/>
          <w:szCs w:val="21"/>
          <w:highlight w:val="none"/>
        </w:rPr>
        <w:t>当采购数量与实际使用数量不一致时，乙方应根据实际使用量供货，合同的最终结算金额按实际使用量乘以成交单价进行计算。</w:t>
      </w:r>
    </w:p>
    <w:p>
      <w:pPr>
        <w:spacing w:after="0" w:line="420" w:lineRule="exact"/>
        <w:ind w:firstLine="420" w:firstLineChars="200"/>
        <w:jc w:val="both"/>
        <w:textAlignment w:val="baseline"/>
        <w:rPr>
          <w:rStyle w:val="45"/>
          <w:rFonts w:hint="eastAsia" w:ascii="宋体" w:hAnsi="宋体" w:eastAsia="宋体" w:cs="宋体"/>
          <w:color w:val="auto"/>
          <w:szCs w:val="21"/>
          <w:highlight w:val="none"/>
        </w:rPr>
      </w:pPr>
      <w:r>
        <w:rPr>
          <w:rStyle w:val="45"/>
          <w:rFonts w:hint="eastAsia" w:ascii="宋体" w:hAnsi="宋体" w:eastAsia="宋体" w:cs="宋体"/>
          <w:color w:val="auto"/>
          <w:szCs w:val="21"/>
          <w:highlight w:val="none"/>
        </w:rPr>
        <w:t>2.资金性质：2025年中央补助广西医疗服务与保障能力提升资金。</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bCs/>
          <w:color w:val="auto"/>
          <w:szCs w:val="21"/>
          <w:highlight w:val="none"/>
        </w:rPr>
        <w:t>3.付款方式：（</w:t>
      </w:r>
      <w:r>
        <w:rPr>
          <w:rStyle w:val="45"/>
          <w:rFonts w:hint="eastAsia" w:ascii="宋体" w:hAnsi="宋体" w:eastAsia="宋体" w:cs="宋体"/>
          <w:b/>
          <w:bCs/>
          <w:color w:val="auto"/>
          <w:szCs w:val="21"/>
          <w:highlight w:val="none"/>
          <w:lang w:val="en-US"/>
        </w:rPr>
        <w:t>1</w:t>
      </w:r>
      <w:r>
        <w:rPr>
          <w:rStyle w:val="45"/>
          <w:rFonts w:hint="eastAsia" w:ascii="宋体" w:hAnsi="宋体" w:eastAsia="宋体" w:cs="宋体"/>
          <w:b/>
          <w:bCs/>
          <w:color w:val="auto"/>
          <w:szCs w:val="21"/>
          <w:highlight w:val="none"/>
        </w:rPr>
        <w:t>）支付形式：采用银行转账方式，甲方（或相关付款责任方）将款项直接汇入乙方指定的合法有效银行账户（乙方需提前提供账户信息并确保真实性、有效性）。（</w:t>
      </w:r>
      <w:r>
        <w:rPr>
          <w:rStyle w:val="45"/>
          <w:rFonts w:hint="eastAsia" w:ascii="宋体" w:hAnsi="宋体" w:eastAsia="宋体" w:cs="宋体"/>
          <w:b/>
          <w:bCs/>
          <w:color w:val="auto"/>
          <w:szCs w:val="21"/>
          <w:highlight w:val="none"/>
          <w:lang w:val="en-US"/>
        </w:rPr>
        <w:t>2</w:t>
      </w:r>
      <w:r>
        <w:rPr>
          <w:rStyle w:val="45"/>
          <w:rFonts w:hint="eastAsia" w:ascii="宋体" w:hAnsi="宋体" w:eastAsia="宋体" w:cs="宋体"/>
          <w:b/>
          <w:bCs/>
          <w:color w:val="auto"/>
          <w:szCs w:val="21"/>
          <w:highlight w:val="none"/>
        </w:rPr>
        <w:t>）付款计划：因本项目资金由隆林各族自治县财政局统一拨付（资金来源为2025年中央补助广西医疗服务与保障能力提升专项资金），结合财政资金拨付常规流程，款项预计</w:t>
      </w:r>
      <w:r>
        <w:rPr>
          <w:rStyle w:val="45"/>
          <w:rFonts w:hint="eastAsia" w:ascii="宋体" w:hAnsi="宋体" w:eastAsia="宋体" w:cs="宋体"/>
          <w:b/>
          <w:bCs/>
          <w:color w:val="auto"/>
          <w:szCs w:val="21"/>
          <w:highlight w:val="none"/>
          <w:lang w:val="en-US"/>
        </w:rPr>
        <w:t>2026</w:t>
      </w:r>
      <w:r>
        <w:rPr>
          <w:rStyle w:val="45"/>
          <w:rFonts w:hint="eastAsia" w:ascii="宋体" w:hAnsi="宋体" w:eastAsia="宋体" w:cs="宋体"/>
          <w:b/>
          <w:bCs/>
          <w:color w:val="auto"/>
          <w:szCs w:val="21"/>
          <w:highlight w:val="none"/>
        </w:rPr>
        <w:t>年3-5月期间完成拨付，具体付款时间以隆林各族自治县财政局当年资金拨付进度及通知为准。</w:t>
      </w:r>
    </w:p>
    <w:p>
      <w:pPr>
        <w:spacing w:after="0" w:line="420" w:lineRule="exact"/>
        <w:ind w:left="-61" w:firstLine="514"/>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第九条  税费</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本合同执行中相关的一切税费均由乙方负担。</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第十条  质量保证及售后服务</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1.乙方应按招标文件规定的货物性能、技术要求、质量标准向甲方提供未经使用的全新产品。不符合要求的，根据实际情况，经双方协商，可按以下办法处理：</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⑴更换：由乙方承担所发生的全部费用。</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⑵贬值处理：由甲乙双方合议定价。</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⑶退货处理：乙方应退还甲方支付的合同款，同时应承担该货物的直接费用（运输、保险、检验、货款利息及银行手续费等）。</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2.如在使用过程中发生质量问题，乙方在接到甲方通知后在</w:t>
      </w:r>
      <w:r>
        <w:rPr>
          <w:rStyle w:val="45"/>
          <w:rFonts w:hint="eastAsia" w:hAnsi="宋体" w:eastAsia="宋体" w:cs="宋体"/>
          <w:color w:val="auto"/>
          <w:szCs w:val="21"/>
          <w:highlight w:val="none"/>
          <w:u w:val="single" w:color="000000"/>
        </w:rPr>
        <w:t xml:space="preserve"> 乙方售后服务承诺 </w:t>
      </w:r>
      <w:r>
        <w:rPr>
          <w:rStyle w:val="45"/>
          <w:rFonts w:hint="eastAsia" w:hAnsi="宋体" w:eastAsia="宋体" w:cs="宋体"/>
          <w:color w:val="auto"/>
          <w:szCs w:val="21"/>
          <w:highlight w:val="none"/>
        </w:rPr>
        <w:t>小时内到达甲方现场处理。</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3.在质保期内，乙方应对货物出现的质量及安全问题负责处理解决并承担一切费用。</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4.上述的货物质保期按</w:t>
      </w:r>
      <w:r>
        <w:rPr>
          <w:rStyle w:val="45"/>
          <w:rFonts w:hint="eastAsia" w:ascii="宋体" w:hAnsi="宋体" w:eastAsia="宋体" w:cs="宋体"/>
          <w:color w:val="auto"/>
          <w:szCs w:val="21"/>
          <w:highlight w:val="none"/>
          <w:u w:val="single" w:color="000000"/>
        </w:rPr>
        <w:t>《商务响应表》承诺</w:t>
      </w:r>
      <w:r>
        <w:rPr>
          <w:rStyle w:val="45"/>
          <w:rFonts w:hint="eastAsia" w:ascii="宋体" w:hAnsi="宋体" w:eastAsia="宋体" w:cs="宋体"/>
          <w:color w:val="auto"/>
          <w:szCs w:val="21"/>
          <w:highlight w:val="none"/>
        </w:rPr>
        <w:t>，因人为因素出现的故障不在免费保修范围内。超过保修期的机器设备，终生维修，维修时只收部件成本费。</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第十一条  调试和验收</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1.乙方所提供的货物与投标文件中承诺的技术参数不符的或未提供以上货物去采购人处进行验收的，甲方将报同级财政监督管理部门进行处理，由此导致整批货物被拒收或索赔而引发的所有损失由乙方承担。</w:t>
      </w:r>
    </w:p>
    <w:p>
      <w:pPr>
        <w:spacing w:after="0" w:line="420" w:lineRule="exact"/>
        <w:ind w:left="-61" w:firstLine="514"/>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甲方有权要求乙方提供所投设备到采购单位进行参数性能检测，并提供生产厂家盖章的检测报告原件备查，不能提供的则有权不予验收。产品性能检测合格后封存，待项目验收时对安装设备与封存设备对比，如出现安装和封存的设备不符，甲方有权拒绝项目验收，并加以法律诉讼，追讨损失。</w:t>
      </w:r>
    </w:p>
    <w:p>
      <w:pPr>
        <w:pStyle w:val="47"/>
        <w:spacing w:after="0" w:line="420" w:lineRule="exact"/>
        <w:ind w:firstLine="413" w:firstLineChars="196"/>
        <w:rPr>
          <w:rStyle w:val="45"/>
          <w:rFonts w:hAnsi="宋体" w:eastAsia="宋体" w:cs="宋体"/>
          <w:b/>
          <w:color w:val="auto"/>
          <w:szCs w:val="21"/>
          <w:highlight w:val="none"/>
        </w:rPr>
      </w:pPr>
      <w:r>
        <w:rPr>
          <w:rStyle w:val="45"/>
          <w:rFonts w:hint="eastAsia" w:hAnsi="宋体" w:eastAsia="宋体" w:cs="宋体"/>
          <w:b/>
          <w:color w:val="auto"/>
          <w:szCs w:val="21"/>
          <w:highlight w:val="none"/>
        </w:rPr>
        <w:t>第十二条  货物包装、发运及运输</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1.乙方应在货物发运前对其进行满足运输距离、防潮、防震、防锈和防破损装卸等要求包装，以保证货物安全运达甲方指定地点。</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2.使用说明书、质量检验证明书、随配附件和工具以及清单一并附于货物内。</w:t>
      </w:r>
    </w:p>
    <w:p>
      <w:pPr>
        <w:pStyle w:val="47"/>
        <w:spacing w:after="0" w:line="420" w:lineRule="exact"/>
        <w:rPr>
          <w:rStyle w:val="45"/>
          <w:rFonts w:hAnsi="宋体" w:eastAsia="宋体" w:cs="宋体"/>
          <w:color w:val="auto"/>
          <w:szCs w:val="21"/>
          <w:highlight w:val="none"/>
        </w:rPr>
      </w:pPr>
      <w:r>
        <w:rPr>
          <w:rStyle w:val="45"/>
          <w:rFonts w:hint="eastAsia" w:hAnsi="宋体" w:eastAsia="宋体" w:cs="宋体"/>
          <w:color w:val="auto"/>
          <w:szCs w:val="21"/>
          <w:highlight w:val="none"/>
        </w:rPr>
        <w:t xml:space="preserve">    3.乙方在货物发运手续办理完毕后二十四小时内或货到甲方四十八小时前通知甲方，以准备接货。</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4.货物在交付甲方前发生的风险均由乙方负责。</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5.货</w:t>
      </w:r>
      <w:r>
        <w:rPr>
          <w:rStyle w:val="45"/>
          <w:rFonts w:hint="eastAsia" w:ascii="宋体" w:hAnsi="宋体" w:eastAsia="宋体" w:cs="宋体"/>
          <w:color w:val="auto"/>
          <w:spacing w:val="-8"/>
          <w:szCs w:val="21"/>
          <w:highlight w:val="none"/>
        </w:rPr>
        <w:t>物在规定的交付期限内由乙方送达甲方指定的地点视为交付，乙方同时需通知甲方货物已送达。</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第十三条　违约责任</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pacing w:after="0" w:line="420" w:lineRule="exact"/>
        <w:ind w:firstLine="472" w:firstLineChars="225"/>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2.乙方提供的货物如侵犯了第三方合法权益而引发的任何纠纷或诉讼，均由乙方负责交涉并承担全部责任。</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3.因包装、运输引起的货物损坏，按质量不合格处罚。</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4.乙方未按本合同和投标文件中规定的服务承诺提供售后服务的，乙方应按本合同合计金额</w:t>
      </w:r>
      <w:r>
        <w:rPr>
          <w:rStyle w:val="45"/>
          <w:rFonts w:hint="eastAsia" w:ascii="宋体" w:hAnsi="宋体" w:eastAsia="宋体" w:cs="宋体"/>
          <w:color w:val="auto"/>
          <w:szCs w:val="21"/>
          <w:highlight w:val="none"/>
          <w:u w:val="single" w:color="000000"/>
        </w:rPr>
        <w:t xml:space="preserve"> 5%</w:t>
      </w:r>
      <w:r>
        <w:rPr>
          <w:rStyle w:val="45"/>
          <w:rFonts w:hint="eastAsia" w:ascii="宋体" w:hAnsi="宋体" w:eastAsia="宋体" w:cs="宋体"/>
          <w:color w:val="auto"/>
          <w:szCs w:val="21"/>
          <w:highlight w:val="none"/>
        </w:rPr>
        <w:t>向甲方支付违约金。</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5.乙方提供的货物在质量保证期内，因设计、工艺或材料的缺陷和其它质量原因造成的问题，由乙方负责，费用从质量保证金中扣除，不足另补。</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6.其它违约行为按违约货款额5%收取违约金并赔偿经济损失。</w:t>
      </w:r>
    </w:p>
    <w:p>
      <w:pPr>
        <w:pStyle w:val="47"/>
        <w:spacing w:after="0" w:line="420" w:lineRule="exact"/>
        <w:ind w:firstLine="413" w:firstLineChars="196"/>
        <w:rPr>
          <w:rStyle w:val="45"/>
          <w:rFonts w:hAnsi="宋体" w:eastAsia="宋体" w:cs="宋体"/>
          <w:b/>
          <w:color w:val="auto"/>
          <w:szCs w:val="21"/>
          <w:highlight w:val="none"/>
        </w:rPr>
      </w:pPr>
      <w:r>
        <w:rPr>
          <w:rStyle w:val="45"/>
          <w:rFonts w:hint="eastAsia" w:hAnsi="宋体" w:eastAsia="宋体" w:cs="宋体"/>
          <w:b/>
          <w:color w:val="auto"/>
          <w:szCs w:val="21"/>
          <w:highlight w:val="none"/>
        </w:rPr>
        <w:t>第十四条  不可抗力事件处理</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1.在合同有效期内，任何一方因不可抗力事件导致不能履行合同，则合同履行期可延长，其延长期与不可抗力影响期相同。</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2.不可抗力事件发生后，应立即通知对方，并寄送有关权威机构出具的证明。</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3.不可抗力事件延续一百二十天以上，双方应通过友好协商，确定是否继续履行合同。</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第十五条  合同争议解决</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2.因履行本合同引起的或与本合同有关的争议，甲乙双方应首先通过友好协商解决，如果协商不能解决，向甲方所在地人民法院提起诉讼。</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3.诉讼期间，本合同继续履行。</w:t>
      </w:r>
    </w:p>
    <w:p>
      <w:pPr>
        <w:pStyle w:val="47"/>
        <w:spacing w:after="0" w:line="420" w:lineRule="exact"/>
        <w:ind w:firstLine="413" w:firstLineChars="196"/>
        <w:rPr>
          <w:rStyle w:val="45"/>
          <w:rFonts w:hAnsi="宋体" w:eastAsia="宋体" w:cs="宋体"/>
          <w:b/>
          <w:color w:val="auto"/>
          <w:szCs w:val="21"/>
          <w:highlight w:val="none"/>
        </w:rPr>
      </w:pPr>
      <w:r>
        <w:rPr>
          <w:rStyle w:val="45"/>
          <w:rFonts w:hint="eastAsia" w:hAnsi="宋体" w:eastAsia="宋体" w:cs="宋体"/>
          <w:b/>
          <w:color w:val="auto"/>
          <w:szCs w:val="21"/>
          <w:highlight w:val="none"/>
        </w:rPr>
        <w:t>第十六条  合同生效及其它</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1.合同经双方法定代表人（负责人）或被授权代表签字并加盖单位公章后生效。</w:t>
      </w:r>
    </w:p>
    <w:p>
      <w:pPr>
        <w:pStyle w:val="47"/>
        <w:spacing w:after="0" w:line="420" w:lineRule="exact"/>
        <w:ind w:firstLine="420" w:firstLineChars="200"/>
        <w:rPr>
          <w:rStyle w:val="45"/>
          <w:rFonts w:hAnsi="宋体" w:eastAsia="宋体" w:cs="宋体"/>
          <w:color w:val="auto"/>
          <w:szCs w:val="21"/>
          <w:highlight w:val="none"/>
        </w:rPr>
      </w:pPr>
      <w:r>
        <w:rPr>
          <w:rStyle w:val="45"/>
          <w:rFonts w:hint="eastAsia" w:hAnsi="宋体" w:eastAsia="宋体" w:cs="宋体"/>
          <w:color w:val="auto"/>
          <w:szCs w:val="21"/>
          <w:highlight w:val="none"/>
        </w:rPr>
        <w:t>2.合同执行中涉及采购资金和采购内容修改或补充的，须经财政部门审批，并签书面补充协议报财政部门备案，方可作为主合同不可分割的一部分。</w:t>
      </w:r>
    </w:p>
    <w:p>
      <w:pPr>
        <w:pStyle w:val="47"/>
        <w:spacing w:after="0" w:line="420" w:lineRule="exact"/>
        <w:ind w:left="440" w:leftChars="200"/>
        <w:rPr>
          <w:rStyle w:val="45"/>
          <w:rFonts w:hAnsi="宋体" w:eastAsia="宋体" w:cs="宋体"/>
          <w:color w:val="auto"/>
          <w:szCs w:val="21"/>
          <w:highlight w:val="none"/>
        </w:rPr>
      </w:pPr>
      <w:r>
        <w:rPr>
          <w:rStyle w:val="45"/>
          <w:rFonts w:hint="eastAsia" w:hAnsi="宋体" w:eastAsia="宋体" w:cs="宋体"/>
          <w:color w:val="auto"/>
          <w:szCs w:val="21"/>
          <w:highlight w:val="none"/>
        </w:rPr>
        <w:t>3.本合同未尽事宜，遵照《合同法》有关条文执行。</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第十七条　合同的变更、终止与转让</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pPr>
        <w:spacing w:after="0" w:line="420" w:lineRule="exact"/>
        <w:ind w:firstLine="420"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2.乙方不得擅自转让（无进口资格的投标人委托进口货物除外）其应履行的合同义务。</w:t>
      </w:r>
    </w:p>
    <w:p>
      <w:pPr>
        <w:spacing w:after="0" w:line="420" w:lineRule="exact"/>
        <w:ind w:firstLine="422" w:firstLineChars="200"/>
        <w:jc w:val="both"/>
        <w:textAlignment w:val="baseline"/>
        <w:rPr>
          <w:rStyle w:val="45"/>
          <w:rFonts w:ascii="宋体" w:hAnsi="宋体" w:eastAsia="宋体" w:cs="宋体"/>
          <w:b/>
          <w:color w:val="auto"/>
          <w:szCs w:val="21"/>
          <w:highlight w:val="none"/>
        </w:rPr>
      </w:pPr>
      <w:r>
        <w:rPr>
          <w:rStyle w:val="45"/>
          <w:rFonts w:hint="eastAsia" w:ascii="宋体" w:hAnsi="宋体" w:eastAsia="宋体" w:cs="宋体"/>
          <w:b/>
          <w:color w:val="auto"/>
          <w:szCs w:val="21"/>
          <w:highlight w:val="none"/>
        </w:rPr>
        <w:t>第十八条　签订本合同依据</w:t>
      </w:r>
    </w:p>
    <w:p>
      <w:pPr>
        <w:pStyle w:val="47"/>
        <w:spacing w:after="0" w:line="420" w:lineRule="exact"/>
        <w:ind w:left="440" w:leftChars="200"/>
        <w:outlineLvl w:val="1"/>
        <w:rPr>
          <w:rStyle w:val="45"/>
          <w:rFonts w:hAnsi="宋体" w:eastAsia="宋体" w:cs="宋体"/>
          <w:color w:val="auto"/>
          <w:szCs w:val="21"/>
          <w:highlight w:val="none"/>
        </w:rPr>
      </w:pPr>
      <w:r>
        <w:rPr>
          <w:rStyle w:val="45"/>
          <w:rFonts w:hint="eastAsia" w:hAnsi="宋体" w:eastAsia="宋体" w:cs="宋体"/>
          <w:color w:val="auto"/>
          <w:szCs w:val="21"/>
          <w:highlight w:val="none"/>
        </w:rPr>
        <w:t>1.政府采购招标文件；</w:t>
      </w:r>
    </w:p>
    <w:p>
      <w:pPr>
        <w:pStyle w:val="47"/>
        <w:spacing w:after="0" w:line="420" w:lineRule="exact"/>
        <w:ind w:left="440" w:leftChars="200"/>
        <w:outlineLvl w:val="1"/>
        <w:rPr>
          <w:rStyle w:val="45"/>
          <w:rFonts w:hAnsi="宋体" w:eastAsia="宋体" w:cs="宋体"/>
          <w:color w:val="auto"/>
          <w:szCs w:val="21"/>
          <w:highlight w:val="none"/>
        </w:rPr>
      </w:pPr>
      <w:r>
        <w:rPr>
          <w:rStyle w:val="45"/>
          <w:rFonts w:hint="eastAsia" w:hAnsi="宋体" w:eastAsia="宋体" w:cs="宋体"/>
          <w:color w:val="auto"/>
          <w:szCs w:val="21"/>
          <w:highlight w:val="none"/>
        </w:rPr>
        <w:t>2.乙方提供的采购投标（或应答）文件；</w:t>
      </w:r>
    </w:p>
    <w:p>
      <w:pPr>
        <w:pStyle w:val="47"/>
        <w:spacing w:after="0" w:line="420" w:lineRule="exact"/>
        <w:ind w:left="440" w:leftChars="200"/>
        <w:outlineLvl w:val="1"/>
        <w:rPr>
          <w:rStyle w:val="45"/>
          <w:rFonts w:hAnsi="宋体" w:eastAsia="宋体" w:cs="宋体"/>
          <w:b/>
          <w:color w:val="auto"/>
          <w:szCs w:val="21"/>
          <w:highlight w:val="none"/>
        </w:rPr>
      </w:pPr>
      <w:r>
        <w:rPr>
          <w:rStyle w:val="45"/>
          <w:rFonts w:hint="eastAsia" w:hAnsi="宋体" w:eastAsia="宋体" w:cs="宋体"/>
          <w:color w:val="auto"/>
          <w:szCs w:val="21"/>
          <w:highlight w:val="none"/>
        </w:rPr>
        <w:t>3.中标或成交通知书。</w:t>
      </w:r>
    </w:p>
    <w:p>
      <w:pPr>
        <w:spacing w:after="0" w:line="420" w:lineRule="exact"/>
        <w:ind w:firstLine="422" w:firstLineChars="20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b/>
          <w:color w:val="auto"/>
          <w:szCs w:val="21"/>
          <w:highlight w:val="none"/>
        </w:rPr>
        <w:t>第十九条　</w:t>
      </w:r>
      <w:r>
        <w:rPr>
          <w:rStyle w:val="45"/>
          <w:rFonts w:hint="eastAsia" w:ascii="宋体" w:hAnsi="宋体" w:eastAsia="宋体" w:cs="宋体"/>
          <w:color w:val="auto"/>
          <w:szCs w:val="21"/>
          <w:highlight w:val="none"/>
        </w:rPr>
        <w:t>本合同一式五份，具有同等法律效力，采购代理机构一份，甲乙双方各二份。本合同甲乙双方签字盖章后生效。</w:t>
      </w:r>
    </w:p>
    <w:p>
      <w:pPr>
        <w:pStyle w:val="14"/>
        <w:spacing w:after="0"/>
        <w:textAlignment w:val="baseline"/>
        <w:rPr>
          <w:rStyle w:val="45"/>
          <w:rFonts w:ascii="宋体" w:hAnsi="宋体" w:eastAsia="宋体" w:cs="宋体"/>
          <w:color w:val="auto"/>
          <w:szCs w:val="21"/>
          <w:highlight w:val="none"/>
        </w:rPr>
      </w:pPr>
    </w:p>
    <w:p>
      <w:pPr>
        <w:pStyle w:val="14"/>
        <w:spacing w:after="0"/>
        <w:textAlignment w:val="baseline"/>
        <w:rPr>
          <w:rStyle w:val="45"/>
          <w:rFonts w:ascii="宋体" w:hAnsi="宋体" w:eastAsia="宋体" w:cs="宋体"/>
          <w:color w:val="auto"/>
          <w:szCs w:val="21"/>
          <w:highlight w:val="none"/>
        </w:rPr>
      </w:pPr>
    </w:p>
    <w:tbl>
      <w:tblPr>
        <w:tblStyle w:val="21"/>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4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 xml:space="preserve">甲方（章）           </w:t>
            </w:r>
          </w:p>
          <w:p>
            <w:pPr>
              <w:spacing w:after="0"/>
              <w:jc w:val="both"/>
              <w:textAlignment w:val="baseline"/>
              <w:rPr>
                <w:rStyle w:val="45"/>
                <w:rFonts w:ascii="宋体" w:hAnsi="宋体" w:eastAsia="宋体" w:cs="宋体"/>
                <w:color w:val="auto"/>
                <w:szCs w:val="21"/>
                <w:highlight w:val="none"/>
              </w:rPr>
            </w:pPr>
          </w:p>
          <w:p>
            <w:pPr>
              <w:spacing w:after="0"/>
              <w:ind w:firstLine="945" w:firstLineChars="450"/>
              <w:jc w:val="right"/>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年   月   日</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 xml:space="preserve">乙方（章）              </w:t>
            </w:r>
          </w:p>
          <w:p>
            <w:pPr>
              <w:spacing w:after="0"/>
              <w:jc w:val="both"/>
              <w:textAlignment w:val="baseline"/>
              <w:rPr>
                <w:rStyle w:val="45"/>
                <w:rFonts w:ascii="宋体" w:hAnsi="宋体" w:eastAsia="宋体" w:cs="宋体"/>
                <w:color w:val="auto"/>
                <w:szCs w:val="21"/>
                <w:highlight w:val="none"/>
              </w:rPr>
            </w:pPr>
          </w:p>
          <w:p>
            <w:pPr>
              <w:spacing w:after="0"/>
              <w:jc w:val="right"/>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单位地址：</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法定代表人（负责人）：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法定代表人（负责人）：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委托代理人：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电话：</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电子邮箱：</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开户银行：</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账号：</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纳税人识别号或统一社会信用代码：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纳税人识别号或统一社会信用代码：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6"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邮政编码：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5"/>
                <w:rFonts w:ascii="宋体" w:hAnsi="宋体" w:eastAsia="宋体" w:cs="宋体"/>
                <w:color w:val="auto"/>
                <w:szCs w:val="21"/>
                <w:highlight w:val="none"/>
              </w:rPr>
            </w:pPr>
            <w:r>
              <w:rPr>
                <w:rStyle w:val="45"/>
                <w:rFonts w:hint="eastAsia" w:ascii="宋体" w:hAnsi="宋体" w:eastAsia="宋体" w:cs="宋体"/>
                <w:color w:val="auto"/>
                <w:szCs w:val="21"/>
                <w:highlight w:val="none"/>
              </w:rPr>
              <w:t>邮政编码：</w:t>
            </w:r>
          </w:p>
        </w:tc>
      </w:tr>
    </w:tbl>
    <w:p>
      <w:pPr>
        <w:spacing w:line="360" w:lineRule="auto"/>
        <w:ind w:firstLine="480" w:firstLineChars="200"/>
        <w:rPr>
          <w:rFonts w:ascii="宋体" w:hAnsi="宋体" w:eastAsia="宋体" w:cs="宋体"/>
          <w:color w:val="auto"/>
          <w:sz w:val="24"/>
          <w:szCs w:val="24"/>
          <w:highlight w:val="none"/>
          <w:u w:val="single"/>
        </w:rPr>
      </w:pPr>
    </w:p>
    <w:p>
      <w:pPr>
        <w:tabs>
          <w:tab w:val="left" w:pos="7380"/>
        </w:tabs>
        <w:spacing w:line="360" w:lineRule="auto"/>
        <w:jc w:val="center"/>
        <w:rPr>
          <w:rFonts w:ascii="宋体" w:hAnsi="宋体" w:eastAsia="宋体" w:cs="宋体"/>
          <w:color w:val="auto"/>
          <w:sz w:val="24"/>
          <w:szCs w:val="24"/>
          <w:highlight w:val="none"/>
        </w:rPr>
        <w:sectPr>
          <w:footerReference r:id="rId10" w:type="default"/>
          <w:pgSz w:w="11906" w:h="16838"/>
          <w:pgMar w:top="1440" w:right="1080" w:bottom="1440" w:left="1080" w:header="720" w:footer="720" w:gutter="0"/>
          <w:pgNumType w:fmt="decimal"/>
          <w:cols w:space="720" w:num="1"/>
          <w:docGrid w:type="lines" w:linePitch="331" w:charSpace="0"/>
        </w:sectPr>
      </w:pPr>
    </w:p>
    <w:p>
      <w:pPr>
        <w:keepNext/>
        <w:spacing w:line="400" w:lineRule="exact"/>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响应文件格式</w:t>
      </w:r>
    </w:p>
    <w:p>
      <w:pPr>
        <w:rPr>
          <w:rFonts w:ascii="宋体" w:hAnsi="宋体" w:eastAsia="宋体" w:cs="宋体"/>
          <w:color w:val="auto"/>
          <w:sz w:val="24"/>
          <w:highlight w:val="none"/>
        </w:rPr>
      </w:pPr>
      <w:r>
        <w:rPr>
          <w:rFonts w:hint="eastAsia" w:ascii="宋体" w:hAnsi="宋体" w:eastAsia="宋体" w:cs="宋体"/>
          <w:color w:val="auto"/>
          <w:sz w:val="24"/>
          <w:highlight w:val="none"/>
        </w:rPr>
        <w:t>（用于响应文件封面）</w:t>
      </w:r>
    </w:p>
    <w:p>
      <w:pPr>
        <w:rPr>
          <w:rFonts w:ascii="宋体" w:hAnsi="宋体" w:eastAsia="宋体" w:cs="宋体"/>
          <w:color w:val="auto"/>
          <w:sz w:val="28"/>
          <w:highlight w:val="none"/>
        </w:rPr>
      </w:pPr>
    </w:p>
    <w:p>
      <w:pPr>
        <w:wordWrap w:val="0"/>
        <w:rPr>
          <w:b/>
          <w:color w:val="auto"/>
          <w:sz w:val="32"/>
          <w:szCs w:val="32"/>
          <w:highlight w:val="none"/>
        </w:rPr>
      </w:pPr>
      <w:r>
        <w:rPr>
          <w:rFonts w:hint="eastAsia"/>
          <w:b/>
          <w:color w:val="auto"/>
          <w:sz w:val="32"/>
          <w:szCs w:val="32"/>
          <w:highlight w:val="none"/>
        </w:rPr>
        <w:t>一、报价文件格式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1.报价文件封面格式：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jc w:val="center"/>
        <w:rPr>
          <w:rFonts w:ascii="宋体" w:hAnsi="宋体"/>
          <w:bCs/>
          <w:color w:val="auto"/>
          <w:sz w:val="24"/>
          <w:szCs w:val="20"/>
          <w:highlight w:val="none"/>
        </w:rPr>
      </w:pPr>
      <w:r>
        <w:rPr>
          <w:rFonts w:hint="eastAsia" w:ascii="宋体" w:hAnsi="宋体"/>
          <w:bCs/>
          <w:color w:val="auto"/>
          <w:sz w:val="24"/>
          <w:szCs w:val="20"/>
          <w:highlight w:val="none"/>
        </w:rPr>
        <w:t>正/副本</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2"/>
        <w:wordWrap w:val="0"/>
        <w:spacing w:before="50" w:after="50"/>
        <w:ind w:firstLine="0"/>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p>
    <w:p>
      <w:pPr>
        <w:pStyle w:val="2"/>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jc w:val="both"/>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2.报价文件目录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both"/>
        <w:rPr>
          <w:rFonts w:ascii="宋体" w:hAnsi="宋体" w:eastAsia="宋体" w:cs="宋体"/>
          <w:b/>
          <w:bCs/>
          <w:color w:val="auto"/>
          <w:sz w:val="28"/>
          <w:szCs w:val="28"/>
          <w:highlight w:val="none"/>
        </w:rPr>
      </w:pPr>
    </w:p>
    <w:p>
      <w:pPr>
        <w:jc w:val="center"/>
        <w:rPr>
          <w:rFonts w:ascii="宋体" w:hAnsi="宋体" w:eastAsia="宋体" w:cs="宋体"/>
          <w:b/>
          <w:color w:val="auto"/>
          <w:sz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highlight w:val="none"/>
        </w:rPr>
        <w:t>竞标函</w:t>
      </w:r>
      <w:r>
        <w:rPr>
          <w:rFonts w:hint="eastAsia" w:ascii="宋体" w:hAnsi="宋体" w:eastAsia="宋体" w:cs="宋体"/>
          <w:b/>
          <w:color w:val="auto"/>
          <w:sz w:val="24"/>
          <w:highlight w:val="none"/>
        </w:rPr>
        <w:t>（格式）</w:t>
      </w:r>
    </w:p>
    <w:p>
      <w:pPr>
        <w:spacing w:line="440" w:lineRule="exact"/>
        <w:rPr>
          <w:rFonts w:ascii="宋体" w:hAnsi="宋体" w:eastAsia="宋体" w:cs="宋体"/>
          <w:b/>
          <w:color w:val="auto"/>
          <w:sz w:val="24"/>
          <w:highlight w:val="none"/>
          <w:u w:val="single"/>
        </w:rPr>
      </w:pPr>
      <w:r>
        <w:rPr>
          <w:rFonts w:hint="eastAsia" w:ascii="宋体" w:hAnsi="宋体" w:eastAsia="宋体" w:cs="宋体"/>
          <w:bCs/>
          <w:color w:val="auto"/>
          <w:sz w:val="24"/>
          <w:highlight w:val="none"/>
          <w:u w:val="single"/>
        </w:rPr>
        <w:t>致</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(采购人)：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项目的竞争性谈判公告（项目编号：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（全名） 经正式授权并代表供应商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（供应商名称）提交响应文件，正本 </w:t>
      </w:r>
      <w:r>
        <w:rPr>
          <w:rFonts w:hint="eastAsia" w:ascii="宋体" w:hAnsi="宋体" w:eastAsia="宋体" w:cs="宋体"/>
          <w:color w:val="auto"/>
          <w:sz w:val="24"/>
          <w:highlight w:val="none"/>
          <w:lang w:eastAsia="zh-CN"/>
        </w:rPr>
        <w:t>壹</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eastAsia="zh-CN"/>
        </w:rPr>
        <w:t>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 供应商已详细审查全部“谈判文件”，包括修改文件（如有的话）以及全部参考资料和有关附件，已经了解我方对于谈判文件、采购过程、采购结果有依法进行询问、质疑、投诉的权利及相关渠道和要求。</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 供应商在参与竞争性谈判之前已经与贵方进行了充分的沟通，完全理解并接受响应文件的各项规定和要求，对响应文件的合理性、合法性不再有异议。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 本竞标有效期自开标日起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 如成交，本响应文件至本项目合同履行完毕止均保持有效，本供应商将按“谈判文件”及政府采购法律、法规的规定履行合同责任和义务。</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 供应商同意本谈判文件中 “ 竞标 报价表 ” 和成交后签订的采购合同可用于公示，其中所有内容不涉及 竞 标人商业秘密。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 供应商同意按照贵方要求提供与投标有关的一切数据或资料。</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 与本竞标有关的一切正式往来信函请寄：</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（单位名称并加盖公章）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 </w:t>
      </w:r>
    </w:p>
    <w:p>
      <w:pPr>
        <w:tabs>
          <w:tab w:val="left" w:pos="3479"/>
        </w:tabs>
        <w:wordWrap w:val="0"/>
        <w:spacing w:line="520" w:lineRule="exact"/>
        <w:jc w:val="center"/>
        <w:rPr>
          <w:rFonts w:ascii="方正小标宋简体" w:hAnsi="方正小标宋简体" w:eastAsia="方正小标宋简体" w:cs="方正小标宋简体"/>
          <w:bCs/>
          <w:color w:val="auto"/>
          <w:sz w:val="44"/>
          <w:szCs w:val="44"/>
          <w:highlight w:val="none"/>
        </w:rPr>
      </w:pPr>
    </w:p>
    <w:p>
      <w:pPr>
        <w:jc w:val="center"/>
        <w:rPr>
          <w:rFonts w:ascii="方正小标宋简体" w:hAnsi="方正小标宋简体" w:eastAsia="方正小标宋简体" w:cs="方正小标宋简体"/>
          <w:bCs/>
          <w:color w:val="auto"/>
          <w:sz w:val="32"/>
          <w:szCs w:val="32"/>
          <w:highlight w:val="none"/>
        </w:rPr>
      </w:pPr>
      <w:r>
        <w:rPr>
          <w:rFonts w:hint="eastAsia" w:ascii="宋体" w:hAnsi="宋体" w:eastAsia="宋体" w:cs="宋体"/>
          <w:b/>
          <w:color w:val="auto"/>
          <w:sz w:val="28"/>
          <w:highlight w:val="none"/>
        </w:rPr>
        <w:t>竞标报价表（格式）</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                                          分标（如有）：</w:t>
      </w:r>
    </w:p>
    <w:p>
      <w:pPr>
        <w:wordWrap w:val="0"/>
        <w:spacing w:before="50" w:after="50"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p>
    <w:tbl>
      <w:tblPr>
        <w:tblStyle w:val="21"/>
        <w:tblW w:w="108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2070"/>
        <w:gridCol w:w="870"/>
        <w:gridCol w:w="1065"/>
        <w:gridCol w:w="1200"/>
        <w:gridCol w:w="1095"/>
        <w:gridCol w:w="1095"/>
        <w:gridCol w:w="1095"/>
        <w:gridCol w:w="1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项号</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w:t>
            </w: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规格</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w:t>
            </w: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制造商</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数量及单位</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①</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单价</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②（元）</w:t>
            </w: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竞标报价</w:t>
            </w: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③=①×②（元）</w:t>
            </w: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b/>
                <w:bCs/>
                <w:color w:val="auto"/>
                <w:sz w:val="24"/>
                <w:szCs w:val="24"/>
                <w:highlight w:val="none"/>
              </w:rPr>
            </w:pPr>
          </w:p>
          <w:p>
            <w:pPr>
              <w:wordWrap w:val="0"/>
              <w:spacing w:line="360" w:lineRule="auto"/>
              <w:jc w:val="center"/>
              <w:rPr>
                <w:rFonts w:ascii="宋体" w:hAnsi="宋体" w:eastAsia="宋体" w:cs="宋体"/>
                <w:b/>
                <w:bCs/>
                <w:color w:val="auto"/>
                <w:sz w:val="24"/>
                <w:szCs w:val="24"/>
                <w:highlight w:val="none"/>
              </w:rPr>
            </w:pPr>
          </w:p>
          <w:p>
            <w:pPr>
              <w:wordWrap w:val="0"/>
              <w:spacing w:line="360" w:lineRule="auto"/>
              <w:jc w:val="center"/>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备注（如有）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tcPr>
          <w:p>
            <w:pPr>
              <w:wordWrap w:val="0"/>
              <w:spacing w:line="360" w:lineRule="auto"/>
              <w:jc w:val="center"/>
              <w:rPr>
                <w:rFonts w:ascii="宋体" w:hAnsi="宋体" w:eastAsia="宋体" w:cs="宋体"/>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c>
          <w:tcPr>
            <w:tcW w:w="172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jc w:val="cente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825" w:type="dxa"/>
            <w:gridSpan w:val="9"/>
            <w:tcBorders>
              <w:top w:val="single" w:color="auto" w:sz="4" w:space="0"/>
              <w:left w:val="single" w:color="auto" w:sz="4" w:space="0"/>
              <w:bottom w:val="single" w:color="auto" w:sz="4" w:space="0"/>
              <w:right w:val="single" w:color="auto" w:sz="4" w:space="0"/>
            </w:tcBorders>
          </w:tcPr>
          <w:p>
            <w:pPr>
              <w:wordWrap w:val="0"/>
              <w:spacing w:before="50" w:after="5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合计金额大写：人民币（¥）</w:t>
            </w:r>
          </w:p>
          <w:p>
            <w:pPr>
              <w:wordWrap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bl>
    <w:p>
      <w:pPr>
        <w:wordWrap w:val="0"/>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以上竞标报价表中“货物名称、数量及单位、品牌、规格型号、制造商、产品合格证”必须如实填写完整，品牌、规格型号没有则填无，填写有缺漏</w:t>
      </w:r>
      <w:r>
        <w:rPr>
          <w:rFonts w:hint="eastAsia" w:ascii="宋体" w:hAnsi="宋体" w:eastAsia="宋体" w:cs="宋体"/>
          <w:bCs/>
          <w:color w:val="auto"/>
          <w:sz w:val="24"/>
          <w:highlight w:val="none"/>
        </w:rPr>
        <w:t>的，</w:t>
      </w:r>
      <w:r>
        <w:rPr>
          <w:rFonts w:hint="eastAsia" w:ascii="宋体" w:hAnsi="宋体" w:eastAsia="宋体" w:cs="宋体"/>
          <w:b/>
          <w:color w:val="auto"/>
          <w:sz w:val="24"/>
          <w:highlight w:val="none"/>
        </w:rPr>
        <w:t>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2.供应商的报价表必须加盖供应商公章并由法定代表人或者委托代理人签字或者签章，</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报价一经涂改，应在涂改处加盖供应商公章或者加盖公章或者由法定代表人或者授权委托人签字（或者签章）</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4.谈判文件中列明采购专用耗材的，应按谈判文件规定的耗材量或者按耗材的常规试用量提供报价。</w:t>
      </w:r>
    </w:p>
    <w:p>
      <w:pPr>
        <w:wordWrap w:val="0"/>
        <w:spacing w:line="360" w:lineRule="auto"/>
        <w:ind w:firstLine="480" w:firstLineChars="200"/>
        <w:contextualSpacing/>
        <w:rPr>
          <w:rFonts w:ascii="宋体" w:hAnsi="宋体" w:eastAsia="宋体" w:cs="宋体"/>
          <w:i/>
          <w:color w:val="auto"/>
          <w:sz w:val="24"/>
          <w:highlight w:val="none"/>
        </w:rPr>
      </w:pPr>
      <w:r>
        <w:rPr>
          <w:rFonts w:hint="eastAsia" w:ascii="宋体" w:hAnsi="宋体" w:eastAsia="宋体" w:cs="宋体"/>
          <w:color w:val="auto"/>
          <w:sz w:val="24"/>
          <w:highlight w:val="none"/>
        </w:rPr>
        <w:t>5.如为联合体竞标，“供应商名称”处必须列明联合体各方名称，标注联合体牵头人名称，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6.如为联合体竞标，</w:t>
      </w:r>
      <w:r>
        <w:rPr>
          <w:rFonts w:hint="eastAsia" w:ascii="宋体" w:hAnsi="宋体" w:eastAsia="宋体" w:cs="宋体"/>
          <w:color w:val="auto"/>
          <w:spacing w:val="-6"/>
          <w:sz w:val="24"/>
          <w:highlight w:val="none"/>
        </w:rPr>
        <w:t xml:space="preserve"> 盖章处须加盖联合体牵头人公章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否则其响应文件按无效处理。</w:t>
      </w:r>
    </w:p>
    <w:p>
      <w:pPr>
        <w:wordWrap w:val="0"/>
        <w:spacing w:line="360" w:lineRule="auto"/>
        <w:ind w:right="-856" w:rightChars="-389" w:firstLine="2640" w:firstLineChars="1100"/>
        <w:contextualSpacing/>
        <w:rPr>
          <w:rFonts w:ascii="宋体" w:hAnsi="宋体" w:eastAsia="宋体" w:cs="宋体"/>
          <w:color w:val="auto"/>
          <w:sz w:val="24"/>
          <w:highlight w:val="none"/>
        </w:rPr>
      </w:pP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法定代表人或者委托代理人（签字或者签章）：                    </w:t>
      </w: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供应商（公章）：      </w:t>
      </w:r>
    </w:p>
    <w:p>
      <w:pPr>
        <w:wordWrap w:val="0"/>
        <w:spacing w:line="360" w:lineRule="auto"/>
        <w:ind w:right="-856" w:rightChars="-3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spacing w:line="400" w:lineRule="exact"/>
        <w:jc w:val="center"/>
        <w:rPr>
          <w:rFonts w:hint="eastAsia" w:ascii="宋体" w:hAnsi="宋体" w:cs="宋体"/>
          <w:bCs/>
          <w:sz w:val="28"/>
          <w:szCs w:val="28"/>
          <w:lang w:val="en-US" w:eastAsia="zh-CN"/>
        </w:rPr>
      </w:pPr>
    </w:p>
    <w:p>
      <w:pPr>
        <w:spacing w:line="400" w:lineRule="exact"/>
        <w:jc w:val="center"/>
        <w:rPr>
          <w:bCs/>
          <w:sz w:val="40"/>
          <w:szCs w:val="24"/>
        </w:rPr>
      </w:pPr>
      <w:r>
        <w:rPr>
          <w:rFonts w:hint="eastAsia" w:ascii="宋体" w:hAnsi="宋体" w:cs="宋体"/>
          <w:bCs/>
          <w:sz w:val="28"/>
          <w:szCs w:val="28"/>
          <w:lang w:val="en-US" w:eastAsia="zh-CN"/>
        </w:rPr>
        <w:t>设备耗材</w:t>
      </w:r>
      <w:r>
        <w:rPr>
          <w:rFonts w:hint="eastAsia" w:ascii="宋体" w:hAnsi="宋体" w:cs="宋体"/>
          <w:bCs/>
          <w:sz w:val="28"/>
          <w:szCs w:val="28"/>
        </w:rPr>
        <w:t>报价</w:t>
      </w:r>
      <w:r>
        <w:rPr>
          <w:rFonts w:hint="eastAsia" w:ascii="宋体" w:hAnsi="宋体" w:cs="宋体"/>
          <w:bCs/>
          <w:sz w:val="28"/>
          <w:szCs w:val="28"/>
          <w:lang w:val="en-US" w:eastAsia="zh-CN"/>
        </w:rPr>
        <w:t>调查</w:t>
      </w:r>
      <w:r>
        <w:rPr>
          <w:rFonts w:hint="eastAsia" w:ascii="宋体" w:hAnsi="宋体" w:cs="宋体"/>
          <w:bCs/>
          <w:sz w:val="28"/>
          <w:szCs w:val="28"/>
        </w:rPr>
        <w:t>明细表</w:t>
      </w:r>
    </w:p>
    <w:p>
      <w:pPr>
        <w:ind w:firstLine="600" w:firstLineChars="250"/>
        <w:rPr>
          <w:rFonts w:eastAsia="黑体"/>
          <w:bCs/>
          <w:sz w:val="24"/>
          <w:szCs w:val="24"/>
        </w:rPr>
      </w:pPr>
    </w:p>
    <w:p>
      <w:pPr>
        <w:rPr>
          <w:rFonts w:hint="default" w:ascii="宋体" w:hAnsi="宋体" w:eastAsia="宋体" w:cs="宋体"/>
          <w:bCs/>
          <w:sz w:val="24"/>
          <w:szCs w:val="24"/>
          <w:lang w:val="en-US" w:eastAsia="zh-CN"/>
        </w:rPr>
      </w:pPr>
      <w:r>
        <w:rPr>
          <w:rFonts w:hint="eastAsia" w:ascii="宋体" w:hAnsi="宋体" w:cs="宋体"/>
          <w:bCs/>
          <w:sz w:val="24"/>
          <w:szCs w:val="24"/>
        </w:rPr>
        <w:t xml:space="preserve">投标人名称(盖章)           </w:t>
      </w:r>
      <w:r>
        <w:rPr>
          <w:rFonts w:ascii="宋体" w:hAnsi="宋体" w:cs="宋体"/>
          <w:bCs/>
          <w:sz w:val="24"/>
          <w:szCs w:val="24"/>
        </w:rPr>
        <w:t xml:space="preserve">                  </w:t>
      </w:r>
      <w:r>
        <w:rPr>
          <w:rFonts w:hint="eastAsia" w:ascii="宋体" w:hAnsi="宋体" w:cs="宋体"/>
          <w:bCs/>
          <w:sz w:val="24"/>
          <w:szCs w:val="24"/>
        </w:rPr>
        <w:t xml:space="preserve">     采购编号：</w:t>
      </w:r>
      <w:r>
        <w:rPr>
          <w:rFonts w:hint="eastAsia" w:ascii="宋体" w:hAnsi="宋体" w:cs="宋体"/>
          <w:bCs/>
          <w:sz w:val="24"/>
          <w:szCs w:val="24"/>
          <w:lang w:val="en-US" w:eastAsia="zh-CN"/>
        </w:rPr>
        <w:t>LLXZYYY20250033</w:t>
      </w:r>
    </w:p>
    <w:tbl>
      <w:tblPr>
        <w:tblStyle w:val="21"/>
        <w:tblW w:w="993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559"/>
        <w:gridCol w:w="638"/>
        <w:gridCol w:w="638"/>
        <w:gridCol w:w="992"/>
        <w:gridCol w:w="638"/>
        <w:gridCol w:w="638"/>
        <w:gridCol w:w="850"/>
        <w:gridCol w:w="992"/>
        <w:gridCol w:w="993"/>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8" w:hRule="atLeast"/>
        </w:trPr>
        <w:tc>
          <w:tcPr>
            <w:tcW w:w="531" w:type="dxa"/>
            <w:tcMar>
              <w:top w:w="15" w:type="dxa"/>
              <w:left w:w="15" w:type="dxa"/>
              <w:bottom w:w="0" w:type="dxa"/>
              <w:right w:w="15" w:type="dxa"/>
            </w:tcMar>
            <w:vAlign w:val="center"/>
          </w:tcPr>
          <w:p>
            <w:pPr>
              <w:spacing w:before="5" w:line="360" w:lineRule="auto"/>
              <w:jc w:val="center"/>
              <w:rPr>
                <w:rFonts w:hint="eastAsia" w:ascii="宋体" w:hAnsi="宋体"/>
                <w:sz w:val="24"/>
                <w:szCs w:val="24"/>
                <w:u w:color="FF0000"/>
              </w:rPr>
            </w:pPr>
            <w:r>
              <w:rPr>
                <w:rFonts w:hint="eastAsia" w:ascii="宋体" w:hAnsi="宋体"/>
                <w:sz w:val="24"/>
                <w:szCs w:val="24"/>
                <w:u w:color="FF0000"/>
              </w:rPr>
              <w:t>序号</w:t>
            </w:r>
          </w:p>
        </w:tc>
        <w:tc>
          <w:tcPr>
            <w:tcW w:w="1559" w:type="dxa"/>
            <w:tcMar>
              <w:top w:w="15" w:type="dxa"/>
              <w:left w:w="15" w:type="dxa"/>
              <w:bottom w:w="0" w:type="dxa"/>
              <w:right w:w="15" w:type="dxa"/>
            </w:tcMar>
            <w:vAlign w:val="center"/>
          </w:tcPr>
          <w:p>
            <w:pPr>
              <w:spacing w:before="5" w:line="360" w:lineRule="auto"/>
              <w:jc w:val="center"/>
              <w:rPr>
                <w:rFonts w:hint="eastAsia" w:ascii="宋体" w:hAnsi="宋体"/>
                <w:sz w:val="24"/>
                <w:szCs w:val="24"/>
                <w:u w:color="FF0000"/>
              </w:rPr>
            </w:pPr>
            <w:r>
              <w:rPr>
                <w:rFonts w:hint="eastAsia" w:ascii="宋体" w:hAnsi="宋体"/>
                <w:sz w:val="24"/>
                <w:szCs w:val="24"/>
              </w:rPr>
              <w:t>名称</w:t>
            </w:r>
          </w:p>
        </w:tc>
        <w:tc>
          <w:tcPr>
            <w:tcW w:w="638" w:type="dxa"/>
            <w:tcMar>
              <w:top w:w="15" w:type="dxa"/>
              <w:left w:w="15" w:type="dxa"/>
              <w:bottom w:w="0" w:type="dxa"/>
              <w:right w:w="15" w:type="dxa"/>
            </w:tcMar>
            <w:vAlign w:val="center"/>
          </w:tcPr>
          <w:p>
            <w:pPr>
              <w:spacing w:before="5" w:line="360" w:lineRule="auto"/>
              <w:jc w:val="center"/>
              <w:rPr>
                <w:rFonts w:hint="eastAsia" w:ascii="宋体" w:hAnsi="宋体"/>
                <w:sz w:val="24"/>
                <w:szCs w:val="24"/>
              </w:rPr>
            </w:pPr>
            <w:r>
              <w:rPr>
                <w:rFonts w:hint="eastAsia" w:ascii="宋体" w:hAnsi="宋体"/>
                <w:sz w:val="24"/>
                <w:szCs w:val="24"/>
                <w:u w:color="FF0000"/>
              </w:rPr>
              <w:t>品牌</w:t>
            </w:r>
          </w:p>
        </w:tc>
        <w:tc>
          <w:tcPr>
            <w:tcW w:w="638" w:type="dxa"/>
            <w:tcMar>
              <w:top w:w="15" w:type="dxa"/>
              <w:left w:w="15" w:type="dxa"/>
              <w:bottom w:w="0" w:type="dxa"/>
              <w:right w:w="15" w:type="dxa"/>
            </w:tcMar>
            <w:vAlign w:val="center"/>
          </w:tcPr>
          <w:p>
            <w:pPr>
              <w:spacing w:before="5" w:line="360" w:lineRule="auto"/>
              <w:jc w:val="center"/>
              <w:rPr>
                <w:rFonts w:hint="default" w:ascii="宋体" w:hAnsi="宋体" w:eastAsia="宋体"/>
                <w:sz w:val="24"/>
                <w:szCs w:val="24"/>
                <w:lang w:val="en-US" w:eastAsia="zh-CN"/>
              </w:rPr>
            </w:pPr>
            <w:r>
              <w:rPr>
                <w:rFonts w:hint="eastAsia" w:ascii="宋体" w:hAnsi="宋体"/>
                <w:sz w:val="24"/>
                <w:szCs w:val="24"/>
                <w:u w:color="FF0000"/>
              </w:rPr>
              <w:t>型号</w:t>
            </w:r>
            <w:r>
              <w:rPr>
                <w:rFonts w:hint="eastAsia" w:ascii="宋体" w:hAnsi="宋体"/>
                <w:sz w:val="24"/>
                <w:szCs w:val="24"/>
                <w:u w:color="FF0000"/>
                <w:lang w:val="en-US" w:eastAsia="zh-CN"/>
              </w:rPr>
              <w:t>/规格</w:t>
            </w:r>
          </w:p>
        </w:tc>
        <w:tc>
          <w:tcPr>
            <w:tcW w:w="992" w:type="dxa"/>
            <w:tcMar>
              <w:top w:w="15" w:type="dxa"/>
              <w:left w:w="15" w:type="dxa"/>
              <w:bottom w:w="0" w:type="dxa"/>
              <w:right w:w="15" w:type="dxa"/>
            </w:tcMar>
            <w:vAlign w:val="center"/>
          </w:tcPr>
          <w:p>
            <w:pPr>
              <w:spacing w:before="5" w:line="360" w:lineRule="auto"/>
              <w:jc w:val="center"/>
              <w:rPr>
                <w:rFonts w:hint="eastAsia" w:ascii="宋体" w:hAnsi="宋体"/>
                <w:sz w:val="24"/>
                <w:szCs w:val="24"/>
              </w:rPr>
            </w:pPr>
            <w:r>
              <w:rPr>
                <w:rFonts w:hint="eastAsia" w:ascii="宋体" w:hAnsi="宋体"/>
                <w:sz w:val="24"/>
                <w:szCs w:val="24"/>
              </w:rPr>
              <w:t>数量</w:t>
            </w:r>
          </w:p>
        </w:tc>
        <w:tc>
          <w:tcPr>
            <w:tcW w:w="638" w:type="dxa"/>
            <w:tcMar>
              <w:top w:w="15" w:type="dxa"/>
              <w:left w:w="15" w:type="dxa"/>
              <w:bottom w:w="0" w:type="dxa"/>
              <w:right w:w="15" w:type="dxa"/>
            </w:tcMar>
            <w:vAlign w:val="center"/>
          </w:tcPr>
          <w:p>
            <w:pPr>
              <w:spacing w:before="5" w:line="360" w:lineRule="auto"/>
              <w:jc w:val="center"/>
              <w:rPr>
                <w:rFonts w:hint="eastAsia" w:ascii="宋体" w:hAnsi="宋体"/>
                <w:sz w:val="24"/>
                <w:szCs w:val="24"/>
              </w:rPr>
            </w:pPr>
            <w:r>
              <w:rPr>
                <w:rFonts w:hint="eastAsia" w:ascii="宋体" w:hAnsi="宋体"/>
                <w:sz w:val="24"/>
                <w:szCs w:val="24"/>
              </w:rPr>
              <w:t>生产厂家</w:t>
            </w:r>
          </w:p>
        </w:tc>
        <w:tc>
          <w:tcPr>
            <w:tcW w:w="638" w:type="dxa"/>
            <w:vAlign w:val="center"/>
          </w:tcPr>
          <w:p>
            <w:pPr>
              <w:spacing w:before="5" w:line="360" w:lineRule="auto"/>
              <w:jc w:val="center"/>
              <w:rPr>
                <w:rFonts w:hint="eastAsia" w:ascii="宋体" w:hAnsi="宋体"/>
                <w:sz w:val="24"/>
                <w:szCs w:val="24"/>
              </w:rPr>
            </w:pPr>
            <w:r>
              <w:rPr>
                <w:rFonts w:hint="eastAsia" w:ascii="宋体" w:hAnsi="宋体"/>
                <w:sz w:val="24"/>
                <w:szCs w:val="24"/>
              </w:rPr>
              <w:t>产地</w:t>
            </w:r>
          </w:p>
        </w:tc>
        <w:tc>
          <w:tcPr>
            <w:tcW w:w="850" w:type="dxa"/>
            <w:vAlign w:val="center"/>
          </w:tcPr>
          <w:p>
            <w:pPr>
              <w:spacing w:before="5"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出厂日期</w:t>
            </w:r>
          </w:p>
        </w:tc>
        <w:tc>
          <w:tcPr>
            <w:tcW w:w="992" w:type="dxa"/>
            <w:vAlign w:val="center"/>
          </w:tcPr>
          <w:p>
            <w:pPr>
              <w:spacing w:before="5" w:line="360" w:lineRule="auto"/>
              <w:jc w:val="center"/>
              <w:rPr>
                <w:rFonts w:hint="eastAsia" w:ascii="宋体" w:hAnsi="宋体"/>
                <w:sz w:val="24"/>
                <w:szCs w:val="24"/>
              </w:rPr>
            </w:pPr>
            <w:r>
              <w:rPr>
                <w:rFonts w:hint="eastAsia" w:ascii="宋体" w:hAnsi="宋体"/>
                <w:sz w:val="24"/>
                <w:szCs w:val="24"/>
              </w:rPr>
              <w:t>免费</w:t>
            </w:r>
          </w:p>
          <w:p>
            <w:pPr>
              <w:spacing w:before="5" w:line="360" w:lineRule="auto"/>
              <w:jc w:val="center"/>
              <w:rPr>
                <w:rFonts w:hint="eastAsia" w:ascii="宋体" w:hAnsi="宋体"/>
                <w:sz w:val="24"/>
                <w:szCs w:val="24"/>
              </w:rPr>
            </w:pPr>
            <w:r>
              <w:rPr>
                <w:rFonts w:hint="eastAsia" w:ascii="宋体" w:hAnsi="宋体"/>
                <w:sz w:val="24"/>
                <w:szCs w:val="24"/>
              </w:rPr>
              <w:t>质保期</w:t>
            </w:r>
          </w:p>
        </w:tc>
        <w:tc>
          <w:tcPr>
            <w:tcW w:w="993" w:type="dxa"/>
            <w:vAlign w:val="center"/>
          </w:tcPr>
          <w:p>
            <w:pPr>
              <w:spacing w:before="5" w:line="360" w:lineRule="auto"/>
              <w:jc w:val="center"/>
              <w:rPr>
                <w:rFonts w:hint="eastAsia" w:ascii="宋体" w:hAnsi="宋体"/>
                <w:sz w:val="24"/>
                <w:szCs w:val="24"/>
              </w:rPr>
            </w:pPr>
            <w:r>
              <w:rPr>
                <w:rFonts w:hint="eastAsia" w:ascii="宋体" w:hAnsi="宋体"/>
                <w:sz w:val="24"/>
                <w:szCs w:val="24"/>
              </w:rPr>
              <w:t>单报价</w:t>
            </w:r>
          </w:p>
        </w:tc>
        <w:tc>
          <w:tcPr>
            <w:tcW w:w="1461" w:type="dxa"/>
            <w:vAlign w:val="center"/>
          </w:tcPr>
          <w:p>
            <w:pPr>
              <w:spacing w:before="5" w:line="360" w:lineRule="auto"/>
              <w:jc w:val="center"/>
              <w:rPr>
                <w:rFonts w:hint="default" w:ascii="宋体" w:hAnsi="宋体" w:eastAsia="微软雅黑"/>
                <w:sz w:val="24"/>
                <w:szCs w:val="24"/>
                <w:lang w:val="en-US" w:eastAsia="zh-CN"/>
              </w:rPr>
            </w:pPr>
            <w:r>
              <w:rPr>
                <w:rFonts w:hint="eastAsia" w:ascii="宋体" w:hAnsi="宋体"/>
                <w:sz w:val="24"/>
                <w:szCs w:val="24"/>
                <w:lang w:val="en-US" w:eastAsia="zh-CN"/>
              </w:rPr>
              <w:t>线上/线下采购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trPr>
        <w:tc>
          <w:tcPr>
            <w:tcW w:w="531" w:type="dxa"/>
            <w:tcMar>
              <w:top w:w="15" w:type="dxa"/>
              <w:left w:w="15" w:type="dxa"/>
              <w:bottom w:w="0" w:type="dxa"/>
              <w:right w:w="15" w:type="dxa"/>
            </w:tcMar>
            <w:vAlign w:val="center"/>
          </w:tcPr>
          <w:p>
            <w:pPr>
              <w:spacing w:line="360" w:lineRule="auto"/>
              <w:jc w:val="center"/>
              <w:rPr>
                <w:rFonts w:hint="eastAsia" w:ascii="宋体" w:hAnsi="宋体"/>
                <w:sz w:val="24"/>
                <w:szCs w:val="24"/>
              </w:rPr>
            </w:pPr>
            <w:r>
              <w:rPr>
                <w:rFonts w:hint="eastAsia" w:ascii="宋体" w:hAnsi="宋体"/>
                <w:sz w:val="24"/>
                <w:szCs w:val="24"/>
              </w:rPr>
              <w:t>1</w:t>
            </w:r>
          </w:p>
        </w:tc>
        <w:tc>
          <w:tcPr>
            <w:tcW w:w="1559" w:type="dxa"/>
            <w:tcMar>
              <w:top w:w="15" w:type="dxa"/>
              <w:left w:w="15" w:type="dxa"/>
              <w:bottom w:w="0" w:type="dxa"/>
              <w:right w:w="15" w:type="dxa"/>
            </w:tcMar>
            <w:vAlign w:val="center"/>
          </w:tcPr>
          <w:p>
            <w:pPr>
              <w:spacing w:line="360" w:lineRule="auto"/>
              <w:rPr>
                <w:rFonts w:hint="eastAsia" w:ascii="宋体" w:hAnsi="宋体"/>
                <w:sz w:val="24"/>
                <w:szCs w:val="24"/>
              </w:rPr>
            </w:pPr>
            <w:r>
              <w:rPr>
                <w:rFonts w:hint="eastAsia" w:ascii="宋体" w:hAnsi="宋体"/>
                <w:sz w:val="24"/>
                <w:szCs w:val="24"/>
                <w:lang w:val="en-US" w:eastAsia="zh-CN"/>
              </w:rPr>
              <w:t>耗材名</w:t>
            </w: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992" w:type="dxa"/>
            <w:tcMar>
              <w:top w:w="15" w:type="dxa"/>
              <w:left w:w="15" w:type="dxa"/>
              <w:bottom w:w="0" w:type="dxa"/>
              <w:right w:w="15" w:type="dxa"/>
            </w:tcMar>
            <w:vAlign w:val="center"/>
          </w:tcPr>
          <w:p>
            <w:pPr>
              <w:spacing w:line="360" w:lineRule="auto"/>
              <w:jc w:val="center"/>
              <w:rPr>
                <w:rFonts w:hint="eastAsia" w:ascii="宋体" w:hAnsi="宋体"/>
                <w:sz w:val="24"/>
                <w:szCs w:val="24"/>
              </w:rPr>
            </w:pPr>
          </w:p>
        </w:tc>
        <w:tc>
          <w:tcPr>
            <w:tcW w:w="638" w:type="dxa"/>
            <w:tcMar>
              <w:top w:w="15" w:type="dxa"/>
              <w:left w:w="15" w:type="dxa"/>
              <w:bottom w:w="0" w:type="dxa"/>
              <w:right w:w="15" w:type="dxa"/>
            </w:tcMar>
            <w:vAlign w:val="center"/>
          </w:tcPr>
          <w:p>
            <w:pPr>
              <w:spacing w:line="360" w:lineRule="auto"/>
              <w:jc w:val="center"/>
              <w:rPr>
                <w:rFonts w:hint="eastAsia" w:ascii="宋体" w:hAnsi="宋体"/>
                <w:bCs/>
                <w:sz w:val="24"/>
                <w:szCs w:val="24"/>
              </w:rPr>
            </w:pPr>
            <w:r>
              <w:rPr>
                <w:rFonts w:hint="eastAsia" w:ascii="宋体" w:hAnsi="宋体"/>
                <w:bCs/>
                <w:sz w:val="24"/>
                <w:szCs w:val="24"/>
              </w:rPr>
              <w:t>　</w:t>
            </w:r>
          </w:p>
        </w:tc>
        <w:tc>
          <w:tcPr>
            <w:tcW w:w="638" w:type="dxa"/>
            <w:vAlign w:val="center"/>
          </w:tcPr>
          <w:p>
            <w:pPr>
              <w:spacing w:line="360" w:lineRule="auto"/>
              <w:jc w:val="center"/>
              <w:rPr>
                <w:rFonts w:hint="eastAsia" w:ascii="宋体" w:hAnsi="宋体"/>
                <w:bCs/>
                <w:sz w:val="24"/>
                <w:szCs w:val="24"/>
              </w:rPr>
            </w:pPr>
          </w:p>
        </w:tc>
        <w:tc>
          <w:tcPr>
            <w:tcW w:w="850" w:type="dxa"/>
            <w:vAlign w:val="center"/>
          </w:tcPr>
          <w:p>
            <w:pPr>
              <w:spacing w:line="360" w:lineRule="auto"/>
              <w:jc w:val="center"/>
              <w:rPr>
                <w:rFonts w:hint="eastAsia" w:ascii="宋体" w:hAnsi="宋体"/>
                <w:bCs/>
                <w:sz w:val="24"/>
                <w:szCs w:val="24"/>
              </w:rPr>
            </w:pPr>
          </w:p>
        </w:tc>
        <w:tc>
          <w:tcPr>
            <w:tcW w:w="992" w:type="dxa"/>
            <w:vAlign w:val="center"/>
          </w:tcPr>
          <w:p>
            <w:pPr>
              <w:spacing w:line="360" w:lineRule="auto"/>
              <w:jc w:val="center"/>
              <w:rPr>
                <w:rFonts w:hint="eastAsia" w:ascii="宋体" w:hAnsi="宋体"/>
                <w:bCs/>
                <w:sz w:val="24"/>
                <w:szCs w:val="24"/>
              </w:rPr>
            </w:pPr>
            <w:r>
              <w:rPr>
                <w:rFonts w:hint="eastAsia" w:ascii="宋体" w:hAnsi="宋体"/>
                <w:bCs/>
                <w:sz w:val="24"/>
                <w:szCs w:val="24"/>
              </w:rPr>
              <w:t>　</w:t>
            </w:r>
          </w:p>
        </w:tc>
        <w:tc>
          <w:tcPr>
            <w:tcW w:w="993" w:type="dxa"/>
            <w:vAlign w:val="center"/>
          </w:tcPr>
          <w:p>
            <w:pPr>
              <w:spacing w:line="360" w:lineRule="auto"/>
              <w:jc w:val="center"/>
              <w:rPr>
                <w:rFonts w:hint="eastAsia" w:ascii="宋体" w:hAnsi="宋体"/>
                <w:bCs/>
                <w:sz w:val="24"/>
                <w:szCs w:val="24"/>
              </w:rPr>
            </w:pPr>
          </w:p>
        </w:tc>
        <w:tc>
          <w:tcPr>
            <w:tcW w:w="1461" w:type="dxa"/>
            <w:vAlign w:val="center"/>
          </w:tcPr>
          <w:p>
            <w:pPr>
              <w:spacing w:line="360" w:lineRule="auto"/>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6" w:hRule="atLeast"/>
        </w:trPr>
        <w:tc>
          <w:tcPr>
            <w:tcW w:w="531" w:type="dxa"/>
            <w:tcMar>
              <w:top w:w="15" w:type="dxa"/>
              <w:left w:w="15" w:type="dxa"/>
              <w:bottom w:w="0" w:type="dxa"/>
              <w:right w:w="15" w:type="dxa"/>
            </w:tcMar>
            <w:vAlign w:val="center"/>
          </w:tcPr>
          <w:p>
            <w:pPr>
              <w:spacing w:line="360" w:lineRule="auto"/>
              <w:jc w:val="center"/>
              <w:rPr>
                <w:rFonts w:hint="eastAsia" w:ascii="宋体" w:hAnsi="宋体"/>
                <w:sz w:val="24"/>
                <w:szCs w:val="24"/>
              </w:rPr>
            </w:pPr>
            <w:r>
              <w:rPr>
                <w:rFonts w:hint="eastAsia" w:ascii="宋体" w:hAnsi="宋体"/>
                <w:sz w:val="24"/>
                <w:szCs w:val="24"/>
              </w:rPr>
              <w:t>2</w:t>
            </w:r>
          </w:p>
        </w:tc>
        <w:tc>
          <w:tcPr>
            <w:tcW w:w="1559" w:type="dxa"/>
            <w:tcMar>
              <w:top w:w="15" w:type="dxa"/>
              <w:left w:w="15" w:type="dxa"/>
              <w:bottom w:w="0" w:type="dxa"/>
              <w:right w:w="15" w:type="dxa"/>
            </w:tcMar>
            <w:vAlign w:val="center"/>
          </w:tcPr>
          <w:p>
            <w:pPr>
              <w:spacing w:line="360" w:lineRule="auto"/>
              <w:rPr>
                <w:rFonts w:hint="default" w:ascii="宋体" w:hAnsi="宋体" w:eastAsia="宋体"/>
                <w:sz w:val="24"/>
                <w:szCs w:val="24"/>
                <w:lang w:val="en-US" w:eastAsia="zh-CN"/>
              </w:rPr>
            </w:pP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992" w:type="dxa"/>
            <w:tcMar>
              <w:top w:w="15" w:type="dxa"/>
              <w:left w:w="15" w:type="dxa"/>
              <w:bottom w:w="0" w:type="dxa"/>
              <w:right w:w="15" w:type="dxa"/>
            </w:tcMar>
            <w:vAlign w:val="center"/>
          </w:tcPr>
          <w:p>
            <w:pPr>
              <w:spacing w:line="360" w:lineRule="auto"/>
              <w:jc w:val="center"/>
              <w:rPr>
                <w:rFonts w:hint="eastAsia" w:ascii="宋体" w:hAnsi="宋体"/>
                <w:sz w:val="24"/>
                <w:szCs w:val="24"/>
              </w:rPr>
            </w:pPr>
          </w:p>
        </w:tc>
        <w:tc>
          <w:tcPr>
            <w:tcW w:w="638" w:type="dxa"/>
            <w:tcMar>
              <w:top w:w="15" w:type="dxa"/>
              <w:left w:w="15" w:type="dxa"/>
              <w:bottom w:w="0" w:type="dxa"/>
              <w:right w:w="15" w:type="dxa"/>
            </w:tcMar>
            <w:vAlign w:val="center"/>
          </w:tcPr>
          <w:p>
            <w:pPr>
              <w:spacing w:line="360" w:lineRule="auto"/>
              <w:jc w:val="center"/>
              <w:rPr>
                <w:rFonts w:hint="eastAsia" w:ascii="宋体" w:hAnsi="宋体"/>
                <w:bCs/>
                <w:sz w:val="24"/>
                <w:szCs w:val="24"/>
              </w:rPr>
            </w:pPr>
          </w:p>
        </w:tc>
        <w:tc>
          <w:tcPr>
            <w:tcW w:w="638" w:type="dxa"/>
            <w:vAlign w:val="center"/>
          </w:tcPr>
          <w:p>
            <w:pPr>
              <w:spacing w:line="360" w:lineRule="auto"/>
              <w:jc w:val="center"/>
              <w:rPr>
                <w:rFonts w:hint="eastAsia" w:ascii="宋体" w:hAnsi="宋体"/>
                <w:bCs/>
                <w:sz w:val="24"/>
                <w:szCs w:val="24"/>
              </w:rPr>
            </w:pPr>
          </w:p>
        </w:tc>
        <w:tc>
          <w:tcPr>
            <w:tcW w:w="850" w:type="dxa"/>
            <w:vAlign w:val="center"/>
          </w:tcPr>
          <w:p>
            <w:pPr>
              <w:spacing w:line="360" w:lineRule="auto"/>
              <w:jc w:val="center"/>
              <w:rPr>
                <w:rFonts w:hint="eastAsia" w:ascii="宋体" w:hAnsi="宋体"/>
                <w:bCs/>
                <w:sz w:val="24"/>
                <w:szCs w:val="24"/>
              </w:rPr>
            </w:pPr>
          </w:p>
        </w:tc>
        <w:tc>
          <w:tcPr>
            <w:tcW w:w="992" w:type="dxa"/>
            <w:vAlign w:val="center"/>
          </w:tcPr>
          <w:p>
            <w:pPr>
              <w:spacing w:line="360" w:lineRule="auto"/>
              <w:jc w:val="center"/>
              <w:rPr>
                <w:rFonts w:hint="eastAsia" w:ascii="宋体" w:hAnsi="宋体"/>
                <w:bCs/>
                <w:sz w:val="24"/>
                <w:szCs w:val="24"/>
              </w:rPr>
            </w:pPr>
          </w:p>
        </w:tc>
        <w:tc>
          <w:tcPr>
            <w:tcW w:w="993" w:type="dxa"/>
            <w:vAlign w:val="center"/>
          </w:tcPr>
          <w:p>
            <w:pPr>
              <w:spacing w:line="360" w:lineRule="auto"/>
              <w:jc w:val="center"/>
              <w:rPr>
                <w:rFonts w:hint="eastAsia" w:ascii="宋体" w:hAnsi="宋体"/>
                <w:bCs/>
                <w:sz w:val="24"/>
                <w:szCs w:val="24"/>
              </w:rPr>
            </w:pPr>
          </w:p>
        </w:tc>
        <w:tc>
          <w:tcPr>
            <w:tcW w:w="1461" w:type="dxa"/>
            <w:vAlign w:val="center"/>
          </w:tcPr>
          <w:p>
            <w:pPr>
              <w:spacing w:line="360" w:lineRule="auto"/>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2" w:hRule="atLeast"/>
        </w:trPr>
        <w:tc>
          <w:tcPr>
            <w:tcW w:w="531" w:type="dxa"/>
            <w:tcMar>
              <w:top w:w="15" w:type="dxa"/>
              <w:left w:w="15" w:type="dxa"/>
              <w:bottom w:w="0" w:type="dxa"/>
              <w:right w:w="15" w:type="dxa"/>
            </w:tcMar>
            <w:vAlign w:val="center"/>
          </w:tcPr>
          <w:p>
            <w:pPr>
              <w:spacing w:line="360" w:lineRule="auto"/>
              <w:jc w:val="center"/>
              <w:rPr>
                <w:rFonts w:hint="default" w:ascii="宋体" w:hAnsi="宋体" w:eastAsia="微软雅黑"/>
                <w:sz w:val="24"/>
                <w:szCs w:val="24"/>
                <w:lang w:val="en-US" w:eastAsia="zh-CN"/>
              </w:rPr>
            </w:pPr>
            <w:r>
              <w:rPr>
                <w:rFonts w:hint="eastAsia" w:ascii="宋体" w:hAnsi="宋体"/>
                <w:sz w:val="24"/>
                <w:szCs w:val="24"/>
                <w:lang w:val="en-US" w:eastAsia="zh-CN"/>
              </w:rPr>
              <w:t>...</w:t>
            </w:r>
          </w:p>
        </w:tc>
        <w:tc>
          <w:tcPr>
            <w:tcW w:w="1559" w:type="dxa"/>
            <w:tcMar>
              <w:top w:w="15" w:type="dxa"/>
              <w:left w:w="15" w:type="dxa"/>
              <w:bottom w:w="0" w:type="dxa"/>
              <w:right w:w="15" w:type="dxa"/>
            </w:tcMar>
            <w:vAlign w:val="center"/>
          </w:tcPr>
          <w:p>
            <w:pPr>
              <w:spacing w:line="360" w:lineRule="auto"/>
              <w:rPr>
                <w:rFonts w:hint="default" w:ascii="宋体" w:hAnsi="宋体" w:eastAsia="微软雅黑"/>
                <w:sz w:val="24"/>
                <w:szCs w:val="24"/>
                <w:lang w:val="en-US" w:eastAsia="zh-CN"/>
              </w:rPr>
            </w:pPr>
            <w:r>
              <w:rPr>
                <w:rFonts w:hint="eastAsia" w:ascii="宋体" w:hAnsi="宋体"/>
                <w:sz w:val="24"/>
                <w:szCs w:val="24"/>
                <w:lang w:val="en-US" w:eastAsia="zh-CN"/>
              </w:rPr>
              <w:t>......</w:t>
            </w: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638" w:type="dxa"/>
            <w:tcMar>
              <w:top w:w="15" w:type="dxa"/>
              <w:left w:w="15" w:type="dxa"/>
              <w:bottom w:w="0" w:type="dxa"/>
              <w:right w:w="15" w:type="dxa"/>
            </w:tcMar>
            <w:vAlign w:val="center"/>
          </w:tcPr>
          <w:p>
            <w:pPr>
              <w:spacing w:line="360" w:lineRule="auto"/>
              <w:rPr>
                <w:rFonts w:hint="eastAsia" w:ascii="宋体" w:hAnsi="宋体"/>
                <w:bCs/>
                <w:sz w:val="24"/>
                <w:szCs w:val="24"/>
              </w:rPr>
            </w:pPr>
          </w:p>
        </w:tc>
        <w:tc>
          <w:tcPr>
            <w:tcW w:w="992" w:type="dxa"/>
            <w:tcMar>
              <w:top w:w="15" w:type="dxa"/>
              <w:left w:w="15" w:type="dxa"/>
              <w:bottom w:w="0" w:type="dxa"/>
              <w:right w:w="15" w:type="dxa"/>
            </w:tcMar>
            <w:vAlign w:val="center"/>
          </w:tcPr>
          <w:p>
            <w:pPr>
              <w:spacing w:line="360" w:lineRule="auto"/>
              <w:jc w:val="center"/>
              <w:rPr>
                <w:rFonts w:hint="eastAsia" w:ascii="宋体" w:hAnsi="宋体"/>
                <w:sz w:val="24"/>
                <w:szCs w:val="24"/>
              </w:rPr>
            </w:pPr>
          </w:p>
        </w:tc>
        <w:tc>
          <w:tcPr>
            <w:tcW w:w="638" w:type="dxa"/>
            <w:tcMar>
              <w:top w:w="15" w:type="dxa"/>
              <w:left w:w="15" w:type="dxa"/>
              <w:bottom w:w="0" w:type="dxa"/>
              <w:right w:w="15" w:type="dxa"/>
            </w:tcMar>
            <w:vAlign w:val="center"/>
          </w:tcPr>
          <w:p>
            <w:pPr>
              <w:spacing w:line="360" w:lineRule="auto"/>
              <w:jc w:val="center"/>
              <w:rPr>
                <w:rFonts w:hint="eastAsia" w:ascii="宋体" w:hAnsi="宋体"/>
                <w:bCs/>
                <w:sz w:val="24"/>
                <w:szCs w:val="24"/>
              </w:rPr>
            </w:pPr>
          </w:p>
        </w:tc>
        <w:tc>
          <w:tcPr>
            <w:tcW w:w="638" w:type="dxa"/>
            <w:vAlign w:val="center"/>
          </w:tcPr>
          <w:p>
            <w:pPr>
              <w:spacing w:line="360" w:lineRule="auto"/>
              <w:jc w:val="center"/>
              <w:rPr>
                <w:rFonts w:hint="eastAsia" w:ascii="宋体" w:hAnsi="宋体"/>
                <w:bCs/>
                <w:sz w:val="24"/>
                <w:szCs w:val="24"/>
              </w:rPr>
            </w:pPr>
          </w:p>
        </w:tc>
        <w:tc>
          <w:tcPr>
            <w:tcW w:w="850" w:type="dxa"/>
            <w:vAlign w:val="center"/>
          </w:tcPr>
          <w:p>
            <w:pPr>
              <w:spacing w:line="360" w:lineRule="auto"/>
              <w:jc w:val="center"/>
              <w:rPr>
                <w:rFonts w:hint="eastAsia" w:ascii="宋体" w:hAnsi="宋体"/>
                <w:bCs/>
                <w:sz w:val="24"/>
                <w:szCs w:val="24"/>
              </w:rPr>
            </w:pPr>
          </w:p>
        </w:tc>
        <w:tc>
          <w:tcPr>
            <w:tcW w:w="992" w:type="dxa"/>
            <w:vAlign w:val="center"/>
          </w:tcPr>
          <w:p>
            <w:pPr>
              <w:spacing w:line="360" w:lineRule="auto"/>
              <w:jc w:val="center"/>
              <w:rPr>
                <w:rFonts w:hint="eastAsia" w:ascii="宋体" w:hAnsi="宋体"/>
                <w:bCs/>
                <w:sz w:val="24"/>
                <w:szCs w:val="24"/>
              </w:rPr>
            </w:pPr>
          </w:p>
        </w:tc>
        <w:tc>
          <w:tcPr>
            <w:tcW w:w="993" w:type="dxa"/>
            <w:vAlign w:val="center"/>
          </w:tcPr>
          <w:p>
            <w:pPr>
              <w:spacing w:line="360" w:lineRule="auto"/>
              <w:jc w:val="center"/>
              <w:rPr>
                <w:rFonts w:hint="eastAsia" w:ascii="宋体" w:hAnsi="宋体"/>
                <w:bCs/>
                <w:sz w:val="24"/>
                <w:szCs w:val="24"/>
              </w:rPr>
            </w:pPr>
          </w:p>
        </w:tc>
        <w:tc>
          <w:tcPr>
            <w:tcW w:w="1461" w:type="dxa"/>
            <w:vAlign w:val="center"/>
          </w:tcPr>
          <w:p>
            <w:pPr>
              <w:spacing w:line="360" w:lineRule="auto"/>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9" w:hRule="atLeast"/>
        </w:trPr>
        <w:tc>
          <w:tcPr>
            <w:tcW w:w="9930" w:type="dxa"/>
            <w:gridSpan w:val="11"/>
            <w:tcMar>
              <w:top w:w="15" w:type="dxa"/>
              <w:left w:w="15" w:type="dxa"/>
              <w:bottom w:w="0" w:type="dxa"/>
              <w:right w:w="15" w:type="dxa"/>
            </w:tcMar>
            <w:vAlign w:val="center"/>
          </w:tcPr>
          <w:p>
            <w:pPr>
              <w:spacing w:line="360" w:lineRule="auto"/>
              <w:rPr>
                <w:rFonts w:hint="eastAsia" w:ascii="宋体" w:hAnsi="宋体"/>
                <w:bCs/>
                <w:sz w:val="24"/>
                <w:szCs w:val="24"/>
              </w:rPr>
            </w:pPr>
            <w:r>
              <w:rPr>
                <w:rFonts w:hint="eastAsia" w:hAnsi="宋体"/>
                <w:color w:val="FF0000"/>
                <w:lang w:val="en-US" w:eastAsia="zh-CN"/>
              </w:rPr>
              <w:t>仅为初期调查，</w:t>
            </w:r>
            <w:r>
              <w:rPr>
                <w:rFonts w:hint="eastAsia" w:hAnsi="宋体"/>
                <w:color w:val="FF0000"/>
              </w:rPr>
              <w:t>报价应包括货款、标准附件、备品备件、专用工具、包装、运输、装卸、保险、税金、货到就位以及安装、调试、培训、保修等一切税金和费用。</w:t>
            </w:r>
          </w:p>
        </w:tc>
      </w:tr>
    </w:tbl>
    <w:p>
      <w:pPr>
        <w:spacing w:before="5" w:line="360" w:lineRule="auto"/>
        <w:rPr>
          <w:rFonts w:ascii="宋体"/>
          <w:sz w:val="24"/>
          <w:szCs w:val="24"/>
        </w:rPr>
      </w:pPr>
    </w:p>
    <w:p>
      <w:pPr>
        <w:spacing w:before="5" w:line="560" w:lineRule="atLeast"/>
        <w:rPr>
          <w:sz w:val="24"/>
          <w:szCs w:val="24"/>
        </w:rPr>
      </w:pPr>
      <w:r>
        <w:rPr>
          <w:sz w:val="24"/>
          <w:szCs w:val="24"/>
        </w:rPr>
        <w:t>法定代表人或法定代表人授权代表签字或盖章：</w:t>
      </w:r>
    </w:p>
    <w:p>
      <w:pPr>
        <w:spacing w:before="5" w:line="400" w:lineRule="atLeast"/>
        <w:rPr>
          <w:sz w:val="24"/>
          <w:szCs w:val="24"/>
        </w:rPr>
      </w:pPr>
    </w:p>
    <w:p>
      <w:pPr>
        <w:pStyle w:val="11"/>
        <w:ind w:left="0" w:leftChars="0"/>
        <w:rPr>
          <w:rFonts w:eastAsia="黑体"/>
          <w:bCs/>
          <w:sz w:val="32"/>
          <w:szCs w:val="32"/>
        </w:rPr>
      </w:pPr>
      <w:r>
        <w:rPr>
          <w:sz w:val="24"/>
        </w:rPr>
        <w:t>日期：</w:t>
      </w:r>
    </w:p>
    <w:p>
      <w:pPr>
        <w:pStyle w:val="55"/>
        <w:tabs>
          <w:tab w:val="left" w:pos="750"/>
        </w:tabs>
        <w:spacing w:line="360" w:lineRule="auto"/>
        <w:ind w:firstLine="0" w:firstLineChars="0"/>
        <w:rPr>
          <w:rFonts w:eastAsia="黑体"/>
          <w:bCs/>
          <w:sz w:val="32"/>
          <w:szCs w:val="32"/>
        </w:rPr>
        <w:sectPr>
          <w:pgSz w:w="11907" w:h="16840"/>
          <w:pgMar w:top="1361" w:right="1418" w:bottom="1361" w:left="1361" w:header="851" w:footer="992" w:gutter="0"/>
          <w:cols w:space="720" w:num="1"/>
          <w:docGrid w:linePitch="312" w:charSpace="0"/>
        </w:sectPr>
      </w:pPr>
    </w:p>
    <w:p>
      <w:pPr>
        <w:pStyle w:val="2"/>
      </w:pPr>
    </w:p>
    <w:p>
      <w:pPr>
        <w:spacing w:line="500" w:lineRule="exact"/>
        <w:rPr>
          <w:rFonts w:ascii="宋体" w:hAnsi="宋体" w:eastAsia="宋体" w:cs="宋体"/>
          <w:color w:val="auto"/>
          <w:sz w:val="28"/>
          <w:highlight w:val="none"/>
        </w:rPr>
      </w:pPr>
    </w:p>
    <w:p>
      <w:pPr>
        <w:keepNext/>
        <w:keepLines/>
        <w:spacing w:line="380" w:lineRule="atLeast"/>
        <w:jc w:val="center"/>
        <w:rPr>
          <w:rFonts w:ascii="宋体" w:hAnsi="宋体" w:eastAsia="宋体" w:cs="宋体"/>
          <w:color w:val="auto"/>
          <w:highlight w:val="none"/>
        </w:rPr>
      </w:pPr>
    </w:p>
    <w:p>
      <w:pPr>
        <w:pStyle w:val="2"/>
        <w:ind w:firstLine="0"/>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spacing w:line="440" w:lineRule="exact"/>
        <w:ind w:firstLine="660" w:firstLineChars="275"/>
        <w:rPr>
          <w:rFonts w:ascii="宋体" w:hAnsi="宋体" w:eastAsia="宋体" w:cs="宋体"/>
          <w:color w:val="auto"/>
          <w:sz w:val="24"/>
          <w:szCs w:val="24"/>
          <w:highlight w:val="none"/>
        </w:rPr>
      </w:pPr>
    </w:p>
    <w:p>
      <w:pPr>
        <w:spacing w:line="440" w:lineRule="exact"/>
        <w:ind w:firstLine="660" w:firstLineChars="275"/>
        <w:rPr>
          <w:rFonts w:ascii="宋体" w:hAnsi="宋体" w:eastAsia="宋体" w:cs="宋体"/>
          <w:color w:val="auto"/>
          <w:sz w:val="24"/>
          <w:szCs w:val="24"/>
          <w:highlight w:val="none"/>
        </w:rPr>
      </w:pPr>
    </w:p>
    <w:p>
      <w:pPr>
        <w:spacing w:line="440" w:lineRule="exact"/>
        <w:ind w:firstLine="660" w:firstLineChars="275"/>
        <w:rPr>
          <w:rFonts w:ascii="宋体" w:hAnsi="宋体" w:eastAsia="宋体" w:cs="宋体"/>
          <w:color w:val="auto"/>
          <w:sz w:val="24"/>
          <w:szCs w:val="24"/>
          <w:highlight w:val="none"/>
        </w:rPr>
      </w:pPr>
    </w:p>
    <w:p>
      <w:pPr>
        <w:wordWrap w:val="0"/>
        <w:rPr>
          <w:rFonts w:hint="eastAsia"/>
          <w:b/>
          <w:color w:val="auto"/>
          <w:sz w:val="32"/>
          <w:szCs w:val="32"/>
          <w:highlight w:val="none"/>
        </w:rPr>
      </w:pPr>
    </w:p>
    <w:p>
      <w:pPr>
        <w:wordWrap w:val="0"/>
        <w:rPr>
          <w:rFonts w:hint="eastAsia"/>
          <w:b/>
          <w:color w:val="auto"/>
          <w:sz w:val="32"/>
          <w:szCs w:val="32"/>
          <w:highlight w:val="none"/>
        </w:rPr>
      </w:pPr>
    </w:p>
    <w:p>
      <w:pPr>
        <w:wordWrap w:val="0"/>
        <w:rPr>
          <w:rFonts w:hint="eastAsia"/>
          <w:b/>
          <w:color w:val="auto"/>
          <w:sz w:val="32"/>
          <w:szCs w:val="32"/>
          <w:highlight w:val="none"/>
        </w:rPr>
      </w:pPr>
    </w:p>
    <w:p>
      <w:pPr>
        <w:wordWrap w:val="0"/>
        <w:rPr>
          <w:b/>
          <w:color w:val="auto"/>
          <w:sz w:val="32"/>
          <w:szCs w:val="32"/>
          <w:highlight w:val="none"/>
        </w:rPr>
      </w:pPr>
      <w:r>
        <w:rPr>
          <w:rFonts w:hint="eastAsia"/>
          <w:b/>
          <w:color w:val="auto"/>
          <w:sz w:val="32"/>
          <w:szCs w:val="32"/>
          <w:highlight w:val="none"/>
        </w:rPr>
        <w:t>二、资格证明文件格式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1.资格证明文件封面格式：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wordWrap w:val="0"/>
        <w:spacing w:before="120" w:beforeLines="50" w:after="50"/>
        <w:ind w:firstLine="640" w:firstLineChars="200"/>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p>
    <w:p>
      <w:pPr>
        <w:pStyle w:val="2"/>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hd w:val="clear" w:color="auto" w:fill="FFFFFF"/>
        <w:spacing w:line="440" w:lineRule="exact"/>
        <w:jc w:val="center"/>
        <w:rPr>
          <w:rFonts w:ascii="宋体" w:hAnsi="宋体" w:eastAsia="宋体" w:cs="宋体"/>
          <w:b/>
          <w:bCs/>
          <w:color w:val="auto"/>
          <w:sz w:val="24"/>
          <w:highlight w:val="none"/>
        </w:rPr>
      </w:pPr>
      <w:r>
        <w:rPr>
          <w:rFonts w:ascii="宋体" w:hAnsi="宋体"/>
          <w:color w:val="auto"/>
          <w:sz w:val="24"/>
          <w:highlight w:val="none"/>
        </w:rPr>
        <w:br w:type="page"/>
      </w:r>
    </w:p>
    <w:p>
      <w:pPr>
        <w:shd w:val="clear" w:color="auto" w:fill="FFFFFF"/>
        <w:spacing w:line="440" w:lineRule="exact"/>
        <w:jc w:val="center"/>
        <w:rPr>
          <w:rFonts w:ascii="宋体" w:hAnsi="宋体" w:eastAsia="宋体" w:cs="宋体"/>
          <w:b/>
          <w:bCs/>
          <w:color w:val="auto"/>
          <w:sz w:val="24"/>
          <w:highlight w:val="none"/>
        </w:rPr>
      </w:pP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2.资格证明文件目录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both"/>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技术规格响应表</w:t>
      </w:r>
      <w:r>
        <w:rPr>
          <w:rFonts w:hint="eastAsia" w:ascii="宋体" w:hAnsi="宋体" w:eastAsia="宋体" w:cs="宋体"/>
          <w:b/>
          <w:color w:val="auto"/>
          <w:sz w:val="24"/>
          <w:highlight w:val="none"/>
        </w:rPr>
        <w:t>（格式）</w:t>
      </w:r>
    </w:p>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请逐条对应采购文件的第三章“货物需求一览表”中要求的技术要求，认真填写该表。</w:t>
      </w:r>
    </w:p>
    <w:tbl>
      <w:tblPr>
        <w:tblStyle w:val="21"/>
        <w:tblW w:w="9324" w:type="dxa"/>
        <w:tblInd w:w="402" w:type="dxa"/>
        <w:tblLayout w:type="fixed"/>
        <w:tblCellMar>
          <w:top w:w="0" w:type="dxa"/>
          <w:left w:w="0" w:type="dxa"/>
          <w:bottom w:w="0" w:type="dxa"/>
          <w:right w:w="0" w:type="dxa"/>
        </w:tblCellMar>
      </w:tblPr>
      <w:tblGrid>
        <w:gridCol w:w="1135"/>
        <w:gridCol w:w="1372"/>
        <w:gridCol w:w="2997"/>
        <w:gridCol w:w="2560"/>
        <w:gridCol w:w="1260"/>
      </w:tblGrid>
      <w:tr>
        <w:tblPrEx>
          <w:tblCellMar>
            <w:top w:w="0" w:type="dxa"/>
            <w:left w:w="0" w:type="dxa"/>
            <w:bottom w:w="0" w:type="dxa"/>
            <w:right w:w="0" w:type="dxa"/>
          </w:tblCellMar>
        </w:tblPrEx>
        <w:trPr>
          <w:trHeight w:val="555"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采购技术要求</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竞标技术规格</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CellMar>
            <w:top w:w="0" w:type="dxa"/>
            <w:left w:w="0" w:type="dxa"/>
            <w:bottom w:w="0" w:type="dxa"/>
            <w:right w:w="0" w:type="dxa"/>
          </w:tblCellMar>
        </w:tblPrEx>
        <w:trPr>
          <w:trHeight w:val="4593"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r>
    </w:tbl>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注：</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1、竞标技术规格由供应商按照响应文件货物需求一览表对应的技术参数及性能进行填写。</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2、此表竞标技术规格与竞标报价表和产品检验报告证书的技术指标不符的，以产品检验报告证书的技术指标为准。</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3、竞标技术规格与采购技术要求相同的为无偏离，竞标技术规格高于采购技术要求的为正偏离，低于采购技术要求的为负偏离。</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供应商（公章）：</w:t>
      </w:r>
      <w:r>
        <w:rPr>
          <w:rFonts w:hint="eastAsia" w:ascii="宋体" w:hAnsi="宋体" w:eastAsia="宋体" w:cs="宋体"/>
          <w:color w:val="auto"/>
          <w:szCs w:val="21"/>
          <w:highlight w:val="none"/>
          <w:u w:val="single"/>
        </w:rPr>
        <w:t>               </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法定代表人或委托代理人签字：</w:t>
      </w:r>
      <w:r>
        <w:rPr>
          <w:rFonts w:hint="eastAsia" w:ascii="宋体" w:hAnsi="宋体" w:eastAsia="宋体" w:cs="宋体"/>
          <w:color w:val="auto"/>
          <w:szCs w:val="21"/>
          <w:highlight w:val="none"/>
          <w:u w:val="single"/>
        </w:rPr>
        <w:t>    </w:t>
      </w:r>
    </w:p>
    <w:p>
      <w:pPr>
        <w:shd w:val="clear" w:color="auto" w:fill="FFFFFF"/>
        <w:spacing w:line="440" w:lineRule="exact"/>
        <w:ind w:firstLine="5040"/>
        <w:rPr>
          <w:rFonts w:ascii="宋体" w:hAnsi="宋体" w:eastAsia="宋体" w:cs="宋体"/>
          <w:color w:val="auto"/>
          <w:szCs w:val="21"/>
          <w:highlight w:val="none"/>
        </w:rPr>
      </w:pPr>
      <w:r>
        <w:rPr>
          <w:rFonts w:hint="eastAsia" w:ascii="宋体" w:hAnsi="宋体" w:eastAsia="宋体" w:cs="宋体"/>
          <w:color w:val="auto"/>
          <w:szCs w:val="21"/>
          <w:highlight w:val="none"/>
        </w:rPr>
        <w:t> 日期：</w:t>
      </w:r>
      <w:r>
        <w:rPr>
          <w:rFonts w:hint="eastAsia" w:ascii="宋体" w:hAnsi="宋体" w:eastAsia="宋体" w:cs="宋体"/>
          <w:color w:val="auto"/>
          <w:szCs w:val="21"/>
          <w:highlight w:val="none"/>
          <w:u w:val="single"/>
        </w:rPr>
        <w:t>              </w:t>
      </w:r>
    </w:p>
    <w:p>
      <w:pPr>
        <w:spacing w:after="0" w:line="500" w:lineRule="exact"/>
        <w:jc w:val="both"/>
        <w:rPr>
          <w:rFonts w:ascii="宋体" w:hAnsi="宋体" w:eastAsia="宋体" w:cs="宋体"/>
          <w:b/>
          <w:bCs/>
          <w:color w:val="auto"/>
          <w:sz w:val="28"/>
          <w:szCs w:val="28"/>
          <w:highlight w:val="none"/>
        </w:rPr>
      </w:pPr>
    </w:p>
    <w:p>
      <w:pPr>
        <w:pStyle w:val="5"/>
        <w:rPr>
          <w:rFonts w:ascii="宋体" w:hAnsi="宋体" w:eastAsia="宋体" w:cs="宋体"/>
          <w:color w:val="auto"/>
          <w:highlight w:val="none"/>
        </w:rPr>
      </w:pPr>
    </w:p>
    <w:p>
      <w:pPr>
        <w:spacing w:after="0" w:line="500" w:lineRule="exact"/>
        <w:ind w:left="420"/>
        <w:jc w:val="center"/>
        <w:rPr>
          <w:rFonts w:ascii="宋体" w:hAnsi="宋体" w:eastAsia="宋体" w:cs="宋体"/>
          <w:b/>
          <w:bCs/>
          <w:color w:val="auto"/>
          <w:sz w:val="28"/>
          <w:szCs w:val="28"/>
          <w:highlight w:val="none"/>
        </w:rPr>
      </w:pPr>
    </w:p>
    <w:p>
      <w:pPr>
        <w:rPr>
          <w:rFonts w:ascii="宋体" w:hAnsi="宋体" w:eastAsia="宋体" w:cs="宋体"/>
          <w:color w:val="auto"/>
          <w:sz w:val="24"/>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法定代表人（负责人）身份证明</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4"/>
          <w:highlight w:val="none"/>
        </w:rPr>
      </w:pP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年     月     日</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附：法定代表人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身份证复印件。</w:t>
      </w:r>
    </w:p>
    <w:p>
      <w:pPr>
        <w:spacing w:line="5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授权委托书</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8"/>
          <w:highlight w:val="none"/>
        </w:rPr>
      </w:pP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响应文件、签订合同和处理有关事宜，其法律后果由我方承担。</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（单位名称并盖公章）     </w:t>
      </w:r>
    </w:p>
    <w:p>
      <w:pPr>
        <w:spacing w:line="500" w:lineRule="exact"/>
        <w:ind w:firstLine="4560" w:firstLineChars="19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firstLineChars="1900"/>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before="50" w:after="120" w:afterLines="50" w:line="360" w:lineRule="auto"/>
        <w:jc w:val="center"/>
        <w:rPr>
          <w:rFonts w:ascii="宋体" w:hAnsi="宋体" w:eastAsia="宋体" w:cs="宋体"/>
          <w:color w:val="auto"/>
          <w:sz w:val="24"/>
          <w:highlight w:val="none"/>
          <w:lang w:val="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投标人直接控股股东信息表（格式）</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887"/>
        <w:gridCol w:w="1253"/>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出资比例</w:t>
            </w:r>
          </w:p>
        </w:tc>
        <w:tc>
          <w:tcPr>
            <w:tcW w:w="38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身份证号码或者统一社会信用代码</w:t>
            </w:r>
          </w:p>
        </w:tc>
        <w:tc>
          <w:tcPr>
            <w:tcW w:w="12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lang w:val="zh-CN"/>
        </w:rPr>
      </w:pP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3.投标人不存在直接控股股东的，则填“无”。</w:t>
      </w:r>
    </w:p>
    <w:p>
      <w:pPr>
        <w:spacing w:line="360" w:lineRule="auto"/>
        <w:ind w:firstLine="576"/>
        <w:jc w:val="center"/>
        <w:rPr>
          <w:rFonts w:ascii="宋体" w:hAnsi="宋体" w:eastAsia="宋体" w:cs="宋体"/>
          <w:color w:val="auto"/>
          <w:sz w:val="21"/>
          <w:szCs w:val="21"/>
          <w:highlight w:val="none"/>
          <w:lang w:val="zh-CN"/>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投标人直接管理关系信息表（格式）</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3.投标人不存在直接管理关系的，则填“无”。</w:t>
      </w:r>
    </w:p>
    <w:p>
      <w:pPr>
        <w:spacing w:line="360" w:lineRule="auto"/>
        <w:rPr>
          <w:rFonts w:ascii="宋体" w:hAnsi="宋体" w:eastAsia="宋体" w:cs="宋体"/>
          <w:color w:val="auto"/>
          <w:sz w:val="21"/>
          <w:szCs w:val="21"/>
          <w:highlight w:val="none"/>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9"/>
        <w:rPr>
          <w:rFonts w:ascii="宋体" w:hAnsi="宋体" w:cs="宋体"/>
          <w:color w:val="auto"/>
          <w:highlight w:val="none"/>
        </w:rPr>
      </w:pPr>
    </w:p>
    <w:p>
      <w:pPr>
        <w:spacing w:after="156" w:line="400" w:lineRule="exact"/>
        <w:ind w:right="-285"/>
        <w:rPr>
          <w:rFonts w:ascii="宋体" w:hAnsi="宋体" w:eastAsia="宋体" w:cs="宋体"/>
          <w:color w:val="auto"/>
          <w:sz w:val="18"/>
          <w:highlight w:val="none"/>
        </w:rPr>
      </w:pPr>
    </w:p>
    <w:p>
      <w:pPr>
        <w:spacing w:line="360" w:lineRule="auto"/>
        <w:jc w:val="center"/>
        <w:rPr>
          <w:rFonts w:ascii="宋体" w:hAnsi="宋体" w:eastAsia="宋体" w:cs="宋体"/>
          <w:bCs/>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44"/>
          <w:szCs w:val="44"/>
          <w:highlight w:val="none"/>
        </w:rPr>
        <w:t>竞标声明（格式）</w:t>
      </w:r>
    </w:p>
    <w:p>
      <w:pPr>
        <w:spacing w:line="320" w:lineRule="exact"/>
        <w:jc w:val="center"/>
        <w:rPr>
          <w:rFonts w:ascii="宋体" w:hAnsi="宋体" w:eastAsia="宋体" w:cs="宋体"/>
          <w:color w:val="auto"/>
          <w:sz w:val="24"/>
          <w:szCs w:val="20"/>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（4）响应谈判文件规定的竞标有效期。</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□我方本次响应文件内容中未涉及商业秘密；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□我方本次响应文件涉及商业秘密的内容有：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7.与本谈判有关的一切正式往来信函请寄：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邮政编号：</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电话/传真：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帐号/行号：</w:t>
      </w:r>
      <w:r>
        <w:rPr>
          <w:rFonts w:hint="eastAsia" w:ascii="宋体" w:hAnsi="宋体" w:eastAsia="宋体" w:cs="宋体"/>
          <w:color w:val="auto"/>
          <w:sz w:val="24"/>
          <w:highlight w:val="none"/>
          <w:u w:val="singl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360" w:lineRule="auto"/>
        <w:contextualSpacing/>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注：如为联合体竞标，盖章处须加盖联合体各方公章并由联合体各方法定代表人分别签署，否则响应文件按无效处理。</w:t>
      </w:r>
    </w:p>
    <w:p>
      <w:pPr>
        <w:spacing w:line="360" w:lineRule="auto"/>
        <w:contextualSpacing/>
        <w:rPr>
          <w:rFonts w:ascii="宋体" w:hAnsi="宋体" w:eastAsia="宋体" w:cs="宋体"/>
          <w:color w:val="auto"/>
          <w:szCs w:val="21"/>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jc w:val="center"/>
        <w:rPr>
          <w:rFonts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无串通竞标行为的承诺函</w:t>
      </w:r>
    </w:p>
    <w:p>
      <w:pPr>
        <w:spacing w:line="400" w:lineRule="exact"/>
        <w:ind w:firstLine="640" w:firstLineChars="200"/>
        <w:rPr>
          <w:rFonts w:ascii="宋体" w:hAnsi="宋体" w:eastAsia="宋体" w:cs="宋体"/>
          <w:color w:val="auto"/>
          <w:sz w:val="32"/>
          <w:szCs w:val="32"/>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eastAsia="宋体" w:cs="宋体"/>
          <w:color w:val="auto"/>
          <w:sz w:val="24"/>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ind w:right="480" w:firstLine="6160" w:firstLineChars="2200"/>
        <w:contextualSpacing/>
        <w:rPr>
          <w:rFonts w:ascii="宋体" w:hAnsi="宋体" w:eastAsia="宋体" w:cs="宋体"/>
          <w:color w:val="auto"/>
          <w:sz w:val="28"/>
          <w:szCs w:val="28"/>
          <w:highlight w:val="none"/>
        </w:rPr>
      </w:pPr>
    </w:p>
    <w:p>
      <w:pPr>
        <w:spacing w:before="120" w:beforeLines="50" w:after="50"/>
        <w:rPr>
          <w:rFonts w:ascii="宋体" w:hAnsi="宋体" w:eastAsia="宋体" w:cs="宋体"/>
          <w:color w:val="auto"/>
          <w:szCs w:val="21"/>
          <w:highlight w:val="none"/>
        </w:rPr>
      </w:pPr>
    </w:p>
    <w:p>
      <w:pPr>
        <w:spacing w:line="220" w:lineRule="atLeast"/>
        <w:rPr>
          <w:rFonts w:ascii="宋体" w:hAnsi="宋体" w:eastAsia="宋体" w:cs="宋体"/>
          <w:color w:val="auto"/>
          <w:highlight w:val="none"/>
        </w:rPr>
      </w:pPr>
    </w:p>
    <w:p>
      <w:pPr>
        <w:spacing w:line="360" w:lineRule="auto"/>
        <w:contextualSpacing/>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商务要求偏离表格式</w:t>
      </w:r>
    </w:p>
    <w:p>
      <w:pPr>
        <w:spacing w:line="360" w:lineRule="auto"/>
        <w:contextualSpacing/>
        <w:jc w:val="center"/>
        <w:rPr>
          <w:rFonts w:ascii="宋体" w:hAnsi="宋体" w:eastAsia="宋体" w:cs="宋体"/>
          <w:b/>
          <w:color w:val="auto"/>
          <w:sz w:val="32"/>
          <w:szCs w:val="32"/>
          <w:highlight w:val="none"/>
        </w:rPr>
      </w:pPr>
      <w:r>
        <w:rPr>
          <w:rFonts w:hint="eastAsia" w:ascii="宋体" w:hAnsi="宋体" w:eastAsia="宋体" w:cs="宋体"/>
          <w:bCs/>
          <w:color w:val="auto"/>
          <w:sz w:val="32"/>
          <w:szCs w:val="32"/>
          <w:highlight w:val="none"/>
        </w:rPr>
        <w:t>（注：按采购需求具体条款修改）</w:t>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bookmarkStart w:id="52" w:name="_Hlk48036267"/>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谈判文件商务要求</w:t>
            </w: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采购需求”中的商务要求逐条作出明确响应，并作出偏离说明。</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2.供应商应根据自身的承诺，对照谈判文件要求在“偏离说明”中注明“正偏离”、“负偏离”或者“无偏离”。既不属于“正偏离”也不属于“负偏离”即为“无偏离”。</w:t>
      </w:r>
    </w:p>
    <w:p>
      <w:pPr>
        <w:spacing w:line="360" w:lineRule="auto"/>
        <w:contextualSpacing/>
        <w:rPr>
          <w:rFonts w:ascii="宋体" w:hAnsi="宋体" w:eastAsia="宋体" w:cs="宋体"/>
          <w:color w:val="auto"/>
          <w:sz w:val="24"/>
          <w:highlight w:val="none"/>
          <w:u w:val="single"/>
        </w:rPr>
      </w:pPr>
    </w:p>
    <w:p>
      <w:pPr>
        <w:spacing w:line="360" w:lineRule="auto"/>
        <w:ind w:right="-856" w:rightChars="-389"/>
        <w:contextualSpacing/>
        <w:rPr>
          <w:rFonts w:ascii="宋体" w:hAnsi="宋体" w:eastAsia="宋体" w:cs="宋体"/>
          <w:color w:val="auto"/>
          <w:sz w:val="24"/>
          <w:highlight w:val="none"/>
        </w:rPr>
      </w:pPr>
    </w:p>
    <w:bookmarkEnd w:id="52"/>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pStyle w:val="14"/>
        <w:rPr>
          <w:rFonts w:ascii="宋体" w:hAnsi="宋体" w:eastAsia="宋体" w:cs="宋体"/>
          <w:bCs/>
          <w:color w:val="auto"/>
          <w:sz w:val="44"/>
          <w:szCs w:val="44"/>
          <w:highlight w:val="none"/>
        </w:rPr>
      </w:pPr>
    </w:p>
    <w:p>
      <w:pPr>
        <w:spacing w:line="520" w:lineRule="exact"/>
        <w:jc w:val="center"/>
        <w:rPr>
          <w:rFonts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货物配置清单</w:t>
      </w:r>
    </w:p>
    <w:p>
      <w:pPr>
        <w:spacing w:line="300" w:lineRule="auto"/>
        <w:rPr>
          <w:rFonts w:ascii="宋体" w:hAnsi="宋体" w:eastAsia="宋体" w:cs="宋体"/>
          <w:color w:val="auto"/>
          <w:szCs w:val="21"/>
          <w:highlight w:val="none"/>
        </w:rPr>
      </w:pP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备注：</w:t>
      </w:r>
    </w:p>
    <w:p>
      <w:pPr>
        <w:tabs>
          <w:tab w:val="left" w:pos="1065"/>
        </w:tabs>
        <w:spacing w:line="360" w:lineRule="auto"/>
        <w:contextualSpacing/>
        <w:rPr>
          <w:rFonts w:ascii="宋体" w:hAnsi="宋体" w:eastAsia="宋体" w:cs="宋体"/>
          <w:color w:val="auto"/>
          <w:sz w:val="24"/>
          <w:highlight w:val="none"/>
        </w:rPr>
      </w:pPr>
      <w:r>
        <w:rPr>
          <w:rFonts w:hint="eastAsia" w:ascii="宋体" w:hAnsi="宋体" w:eastAsia="宋体" w:cs="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货物名称、数量及单位、品牌必须与“竞标报价表”一致，</w:t>
      </w:r>
      <w:r>
        <w:rPr>
          <w:rFonts w:hint="eastAsia" w:ascii="宋体" w:hAnsi="宋体" w:eastAsia="宋体" w:cs="宋体"/>
          <w:bCs/>
          <w:color w:val="auto"/>
          <w:sz w:val="24"/>
          <w:highlight w:val="none"/>
        </w:rPr>
        <w:t>否则响应文件按无效处理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rPr>
          <w:rFonts w:ascii="宋体" w:hAnsi="宋体" w:eastAsia="宋体" w:cs="宋体"/>
          <w:bCs/>
          <w:color w:val="auto"/>
          <w:sz w:val="44"/>
          <w:szCs w:val="44"/>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spacing w:line="300" w:lineRule="auto"/>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技术要求偏离表</w:t>
      </w:r>
    </w:p>
    <w:p>
      <w:pPr>
        <w:spacing w:line="360" w:lineRule="auto"/>
        <w:contextualSpacing/>
        <w:rPr>
          <w:rFonts w:ascii="宋体" w:hAnsi="宋体" w:eastAsia="宋体" w:cs="宋体"/>
          <w:color w:val="auto"/>
          <w:sz w:val="32"/>
          <w:szCs w:val="32"/>
          <w:highlight w:val="none"/>
        </w:rPr>
      </w:pP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1"/>
        <w:gridCol w:w="881"/>
        <w:gridCol w:w="2927"/>
        <w:gridCol w:w="2634"/>
        <w:gridCol w:w="14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53" w:name="_Toc295404981"/>
            <w:bookmarkStart w:id="54" w:name="_Toc254970588"/>
            <w:bookmarkStart w:id="55" w:name="_Toc297193185"/>
            <w:bookmarkStart w:id="56" w:name="_Toc173211900"/>
            <w:bookmarkStart w:id="57" w:name="_Toc254970729"/>
            <w:bookmarkStart w:id="58" w:name="_Toc301781611"/>
            <w:bookmarkStart w:id="59" w:name="_Toc373333689"/>
            <w:bookmarkStart w:id="60" w:name="_Toc383699906"/>
            <w:bookmarkStart w:id="61" w:name="_Toc173066401"/>
            <w:r>
              <w:rPr>
                <w:rFonts w:hint="eastAsia" w:ascii="宋体" w:hAnsi="宋体" w:eastAsia="宋体" w:cs="宋体"/>
                <w:color w:val="auto"/>
                <w:sz w:val="24"/>
                <w:highlight w:val="none"/>
              </w:rPr>
              <w:t>序号</w:t>
            </w:r>
            <w:bookmarkEnd w:id="53"/>
            <w:bookmarkEnd w:id="54"/>
            <w:bookmarkEnd w:id="55"/>
            <w:bookmarkEnd w:id="56"/>
            <w:bookmarkEnd w:id="57"/>
            <w:bookmarkEnd w:id="58"/>
            <w:bookmarkEnd w:id="59"/>
            <w:bookmarkEnd w:id="60"/>
            <w:bookmarkEnd w:id="61"/>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bookmarkStart w:id="62" w:name="_Toc301781612"/>
            <w:bookmarkStart w:id="63" w:name="_Toc254970730"/>
            <w:bookmarkStart w:id="64" w:name="_Toc173211901"/>
            <w:bookmarkStart w:id="65" w:name="_Toc173066402"/>
            <w:bookmarkStart w:id="66" w:name="_Toc383699907"/>
            <w:bookmarkStart w:id="67" w:name="_Toc373333690"/>
            <w:bookmarkStart w:id="68" w:name="_Toc295404982"/>
            <w:bookmarkStart w:id="69" w:name="_Toc297193186"/>
            <w:bookmarkStart w:id="70" w:name="_Toc254970589"/>
            <w:r>
              <w:rPr>
                <w:rFonts w:hint="eastAsia" w:ascii="宋体" w:hAnsi="宋体" w:eastAsia="宋体" w:cs="宋体"/>
                <w:color w:val="auto"/>
                <w:sz w:val="24"/>
                <w:highlight w:val="none"/>
              </w:rPr>
              <w:t>谈判文件要求</w:t>
            </w:r>
            <w:bookmarkEnd w:id="62"/>
            <w:bookmarkEnd w:id="63"/>
            <w:bookmarkEnd w:id="64"/>
            <w:bookmarkEnd w:id="65"/>
            <w:bookmarkEnd w:id="66"/>
            <w:bookmarkEnd w:id="67"/>
            <w:bookmarkEnd w:id="68"/>
            <w:bookmarkEnd w:id="69"/>
            <w:bookmarkEnd w:id="70"/>
          </w:p>
        </w:tc>
        <w:tc>
          <w:tcPr>
            <w:tcW w:w="2634" w:type="dxa"/>
            <w:vAlign w:val="center"/>
          </w:tcPr>
          <w:p>
            <w:pPr>
              <w:spacing w:line="360" w:lineRule="auto"/>
              <w:contextualSpacing/>
              <w:jc w:val="center"/>
              <w:rPr>
                <w:rFonts w:ascii="宋体" w:hAnsi="宋体" w:eastAsia="宋体" w:cs="宋体"/>
                <w:color w:val="auto"/>
                <w:sz w:val="24"/>
                <w:highlight w:val="none"/>
              </w:rPr>
            </w:pPr>
            <w:bookmarkStart w:id="71" w:name="_Toc301781613"/>
            <w:bookmarkStart w:id="72" w:name="_Toc254970590"/>
            <w:bookmarkStart w:id="73" w:name="_Toc173211902"/>
            <w:bookmarkStart w:id="74" w:name="_Toc254970731"/>
            <w:bookmarkStart w:id="75" w:name="_Toc173066403"/>
            <w:bookmarkStart w:id="76" w:name="_Toc297193187"/>
            <w:bookmarkStart w:id="77" w:name="_Toc373333691"/>
            <w:bookmarkStart w:id="78" w:name="_Toc295404983"/>
            <w:bookmarkStart w:id="79" w:name="_Toc383699908"/>
            <w:r>
              <w:rPr>
                <w:rFonts w:hint="eastAsia" w:ascii="宋体" w:hAnsi="宋体" w:eastAsia="宋体" w:cs="宋体"/>
                <w:color w:val="auto"/>
                <w:sz w:val="24"/>
                <w:highlight w:val="none"/>
              </w:rPr>
              <w:t>竞标响应</w:t>
            </w:r>
            <w:bookmarkEnd w:id="71"/>
            <w:bookmarkEnd w:id="72"/>
            <w:bookmarkEnd w:id="73"/>
            <w:bookmarkEnd w:id="74"/>
            <w:bookmarkEnd w:id="75"/>
            <w:bookmarkEnd w:id="76"/>
            <w:bookmarkEnd w:id="77"/>
            <w:bookmarkEnd w:id="78"/>
            <w:bookmarkEnd w:id="79"/>
          </w:p>
        </w:tc>
        <w:tc>
          <w:tcPr>
            <w:tcW w:w="1437" w:type="dxa"/>
            <w:vAlign w:val="center"/>
          </w:tcPr>
          <w:p>
            <w:pPr>
              <w:spacing w:line="360" w:lineRule="auto"/>
              <w:contextualSpacing/>
              <w:jc w:val="center"/>
              <w:rPr>
                <w:rFonts w:ascii="宋体" w:hAnsi="宋体" w:eastAsia="宋体" w:cs="宋体"/>
                <w:color w:val="auto"/>
                <w:sz w:val="24"/>
                <w:highlight w:val="none"/>
              </w:rPr>
            </w:pPr>
            <w:bookmarkStart w:id="80" w:name="_Toc173066404"/>
            <w:bookmarkStart w:id="81" w:name="_Toc297193188"/>
            <w:bookmarkStart w:id="82" w:name="_Toc301781614"/>
            <w:bookmarkStart w:id="83" w:name="_Toc295404984"/>
            <w:bookmarkStart w:id="84" w:name="_Toc373333692"/>
            <w:bookmarkStart w:id="85" w:name="_Toc383699909"/>
            <w:bookmarkStart w:id="86" w:name="_Toc173211903"/>
            <w:bookmarkStart w:id="87" w:name="_Toc254970591"/>
            <w:bookmarkStart w:id="88" w:name="_Toc254970732"/>
            <w:r>
              <w:rPr>
                <w:rFonts w:hint="eastAsia" w:ascii="宋体" w:hAnsi="宋体" w:eastAsia="宋体" w:cs="宋体"/>
                <w:color w:val="auto"/>
                <w:sz w:val="24"/>
                <w:highlight w:val="none"/>
              </w:rPr>
              <w:t>偏离</w:t>
            </w:r>
            <w:bookmarkEnd w:id="80"/>
            <w:bookmarkEnd w:id="81"/>
            <w:bookmarkEnd w:id="82"/>
            <w:bookmarkEnd w:id="83"/>
            <w:bookmarkEnd w:id="84"/>
            <w:bookmarkEnd w:id="85"/>
            <w:bookmarkEnd w:id="86"/>
            <w:bookmarkEnd w:id="87"/>
            <w:bookmarkEnd w:id="88"/>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89" w:name="_Toc254970734"/>
            <w:bookmarkStart w:id="90" w:name="_Toc295404986"/>
            <w:bookmarkStart w:id="91" w:name="_Toc301781616"/>
            <w:bookmarkStart w:id="92" w:name="_Toc173211905"/>
            <w:bookmarkStart w:id="93" w:name="_Toc254970593"/>
            <w:bookmarkStart w:id="94" w:name="_Toc297193190"/>
            <w:bookmarkStart w:id="95" w:name="_Toc373333694"/>
            <w:bookmarkStart w:id="96" w:name="_Toc383699911"/>
            <w:bookmarkStart w:id="97" w:name="_Toc173066406"/>
            <w:r>
              <w:rPr>
                <w:rFonts w:hint="eastAsia" w:ascii="宋体" w:hAnsi="宋体" w:eastAsia="宋体" w:cs="宋体"/>
                <w:color w:val="auto"/>
                <w:sz w:val="24"/>
                <w:highlight w:val="none"/>
              </w:rPr>
              <w:t>1</w:t>
            </w:r>
            <w:bookmarkEnd w:id="89"/>
            <w:bookmarkEnd w:id="90"/>
            <w:bookmarkEnd w:id="91"/>
            <w:bookmarkEnd w:id="92"/>
            <w:bookmarkEnd w:id="93"/>
            <w:bookmarkEnd w:id="94"/>
            <w:bookmarkEnd w:id="95"/>
            <w:bookmarkEnd w:id="96"/>
            <w:bookmarkEnd w:id="97"/>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98" w:name="_Toc383699912"/>
            <w:bookmarkStart w:id="99" w:name="_Toc254970594"/>
            <w:bookmarkStart w:id="100" w:name="_Toc254970735"/>
            <w:bookmarkStart w:id="101" w:name="_Toc297193191"/>
            <w:bookmarkStart w:id="102" w:name="_Toc373333695"/>
            <w:bookmarkStart w:id="103" w:name="_Toc173211906"/>
            <w:bookmarkStart w:id="104" w:name="_Toc301781617"/>
            <w:bookmarkStart w:id="105" w:name="_Toc295404987"/>
            <w:bookmarkStart w:id="106" w:name="_Toc173066407"/>
            <w:r>
              <w:rPr>
                <w:rFonts w:hint="eastAsia" w:ascii="宋体" w:hAnsi="宋体" w:eastAsia="宋体" w:cs="宋体"/>
                <w:color w:val="auto"/>
                <w:sz w:val="24"/>
                <w:highlight w:val="none"/>
              </w:rPr>
              <w:t>2</w:t>
            </w:r>
            <w:bookmarkEnd w:id="98"/>
            <w:bookmarkEnd w:id="99"/>
            <w:bookmarkEnd w:id="100"/>
            <w:bookmarkEnd w:id="101"/>
            <w:bookmarkEnd w:id="102"/>
            <w:bookmarkEnd w:id="103"/>
            <w:bookmarkEnd w:id="104"/>
            <w:bookmarkEnd w:id="105"/>
            <w:bookmarkEnd w:id="106"/>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07" w:name="_Toc295404988"/>
            <w:bookmarkStart w:id="108" w:name="_Toc373333696"/>
            <w:bookmarkStart w:id="109" w:name="_Toc173211907"/>
            <w:bookmarkStart w:id="110" w:name="_Toc254970736"/>
            <w:bookmarkStart w:id="111" w:name="_Toc383699913"/>
            <w:bookmarkStart w:id="112" w:name="_Toc301781618"/>
            <w:bookmarkStart w:id="113" w:name="_Toc173066408"/>
            <w:bookmarkStart w:id="114" w:name="_Toc254970595"/>
            <w:bookmarkStart w:id="115" w:name="_Toc297193192"/>
            <w:r>
              <w:rPr>
                <w:rFonts w:hint="eastAsia" w:ascii="宋体" w:hAnsi="宋体" w:eastAsia="宋体" w:cs="宋体"/>
                <w:color w:val="auto"/>
                <w:sz w:val="24"/>
                <w:highlight w:val="none"/>
              </w:rPr>
              <w:t>3</w:t>
            </w:r>
            <w:bookmarkEnd w:id="107"/>
            <w:bookmarkEnd w:id="108"/>
            <w:bookmarkEnd w:id="109"/>
            <w:bookmarkEnd w:id="110"/>
            <w:bookmarkEnd w:id="111"/>
            <w:bookmarkEnd w:id="112"/>
            <w:bookmarkEnd w:id="113"/>
            <w:bookmarkEnd w:id="114"/>
            <w:bookmarkEnd w:id="115"/>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16" w:name="_Toc173211908"/>
            <w:bookmarkStart w:id="117" w:name="_Toc301781619"/>
            <w:bookmarkStart w:id="118" w:name="_Toc373333697"/>
            <w:bookmarkStart w:id="119" w:name="_Toc173066409"/>
            <w:bookmarkStart w:id="120" w:name="_Toc295404989"/>
            <w:bookmarkStart w:id="121" w:name="_Toc383699914"/>
            <w:bookmarkStart w:id="122" w:name="_Toc254970737"/>
            <w:bookmarkStart w:id="123" w:name="_Toc254970596"/>
            <w:bookmarkStart w:id="124" w:name="_Toc297193193"/>
            <w:r>
              <w:rPr>
                <w:rFonts w:hint="eastAsia" w:ascii="宋体" w:hAnsi="宋体" w:eastAsia="宋体" w:cs="宋体"/>
                <w:color w:val="auto"/>
                <w:sz w:val="24"/>
                <w:highlight w:val="none"/>
              </w:rPr>
              <w:t>4</w:t>
            </w:r>
            <w:bookmarkEnd w:id="116"/>
            <w:bookmarkEnd w:id="117"/>
            <w:bookmarkEnd w:id="118"/>
            <w:bookmarkEnd w:id="119"/>
            <w:bookmarkEnd w:id="120"/>
            <w:bookmarkEnd w:id="121"/>
            <w:bookmarkEnd w:id="122"/>
            <w:bookmarkEnd w:id="123"/>
            <w:bookmarkEnd w:id="124"/>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25" w:name="_Toc173066410"/>
            <w:bookmarkStart w:id="126" w:name="_Toc173211909"/>
            <w:bookmarkStart w:id="127" w:name="_Toc254970738"/>
            <w:bookmarkStart w:id="128" w:name="_Toc383699915"/>
            <w:bookmarkStart w:id="129" w:name="_Toc301781620"/>
            <w:bookmarkStart w:id="130" w:name="_Toc254970597"/>
            <w:bookmarkStart w:id="131" w:name="_Toc373333698"/>
            <w:bookmarkStart w:id="132" w:name="_Toc297193194"/>
            <w:bookmarkStart w:id="133" w:name="_Toc295404990"/>
            <w:r>
              <w:rPr>
                <w:rFonts w:hint="eastAsia" w:ascii="宋体" w:hAnsi="宋体" w:eastAsia="宋体" w:cs="宋体"/>
                <w:color w:val="auto"/>
                <w:sz w:val="24"/>
                <w:highlight w:val="none"/>
              </w:rPr>
              <w:t>5</w:t>
            </w:r>
            <w:bookmarkEnd w:id="125"/>
            <w:bookmarkEnd w:id="126"/>
            <w:bookmarkEnd w:id="127"/>
            <w:bookmarkEnd w:id="128"/>
            <w:bookmarkEnd w:id="129"/>
            <w:bookmarkEnd w:id="130"/>
            <w:bookmarkEnd w:id="131"/>
            <w:bookmarkEnd w:id="132"/>
            <w:bookmarkEnd w:id="133"/>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34" w:name="_Toc373333699"/>
            <w:bookmarkStart w:id="135" w:name="_Toc301781621"/>
            <w:bookmarkStart w:id="136" w:name="_Toc297193195"/>
            <w:bookmarkStart w:id="137" w:name="_Toc173211914"/>
            <w:bookmarkStart w:id="138" w:name="_Toc173066415"/>
            <w:bookmarkStart w:id="139" w:name="_Toc383699916"/>
            <w:bookmarkStart w:id="140" w:name="_Toc254970602"/>
            <w:bookmarkStart w:id="141" w:name="_Toc295404991"/>
            <w:bookmarkStart w:id="142" w:name="_Toc254970743"/>
            <w:r>
              <w:rPr>
                <w:rFonts w:hint="eastAsia" w:ascii="宋体" w:hAnsi="宋体" w:eastAsia="宋体" w:cs="宋体"/>
                <w:color w:val="auto"/>
                <w:sz w:val="24"/>
                <w:highlight w:val="none"/>
              </w:rPr>
              <w:t>…</w:t>
            </w:r>
            <w:bookmarkEnd w:id="134"/>
            <w:bookmarkEnd w:id="135"/>
            <w:bookmarkEnd w:id="136"/>
            <w:bookmarkEnd w:id="137"/>
            <w:bookmarkEnd w:id="138"/>
            <w:bookmarkEnd w:id="139"/>
            <w:bookmarkEnd w:id="140"/>
            <w:bookmarkEnd w:id="141"/>
            <w:bookmarkEnd w:id="142"/>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w:t>
      </w:r>
      <w:bookmarkStart w:id="143" w:name="_Hlk65854900"/>
      <w:r>
        <w:rPr>
          <w:rFonts w:hint="eastAsia" w:ascii="宋体" w:hAnsi="宋体" w:eastAsia="宋体" w:cs="宋体"/>
          <w:color w:val="auto"/>
          <w:sz w:val="24"/>
          <w:highlight w:val="none"/>
        </w:rPr>
        <w:t>技术要求逐条作出明确响应</w:t>
      </w:r>
      <w:bookmarkEnd w:id="143"/>
      <w:r>
        <w:rPr>
          <w:rFonts w:hint="eastAsia" w:ascii="宋体" w:hAnsi="宋体" w:eastAsia="宋体" w:cs="宋体"/>
          <w:color w:val="auto"/>
          <w:sz w:val="24"/>
          <w:highlight w:val="none"/>
        </w:rPr>
        <w:t>，并作出偏离说明。</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2. 供应商应根据自身的承诺，对照谈判文件要求，在“偏离说明”中注明“正偏离”、“负偏离”或者“无偏离”。既不属于“正偏离”也不属于“负偏离”即为“无偏离”。</w:t>
      </w:r>
    </w:p>
    <w:p>
      <w:pPr>
        <w:spacing w:line="360" w:lineRule="auto"/>
        <w:ind w:right="-856" w:rightChars="-389"/>
        <w:contextualSpacing/>
        <w:jc w:val="center"/>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2"/>
        <w:rPr>
          <w:rFonts w:hint="eastAsia" w:ascii="宋体" w:hAnsi="宋体" w:eastAsia="宋体" w:cs="宋体"/>
          <w:color w:val="auto"/>
          <w:sz w:val="24"/>
          <w:highlight w:val="none"/>
          <w:u w:val="single"/>
        </w:rPr>
      </w:pPr>
    </w:p>
    <w:p>
      <w:pPr>
        <w:pStyle w:val="2"/>
        <w:rPr>
          <w:rFonts w:hint="eastAsia" w:ascii="宋体" w:hAnsi="宋体" w:eastAsia="宋体" w:cs="宋体"/>
          <w:color w:val="auto"/>
          <w:sz w:val="24"/>
          <w:highlight w:val="none"/>
          <w:u w:val="single"/>
        </w:rPr>
      </w:pPr>
    </w:p>
    <w:p>
      <w:pPr>
        <w:pStyle w:val="2"/>
        <w:rPr>
          <w:rFonts w:hint="eastAsia" w:ascii="宋体" w:hAnsi="宋体" w:eastAsia="宋体" w:cs="宋体"/>
          <w:color w:val="auto"/>
          <w:sz w:val="24"/>
          <w:highlight w:val="none"/>
          <w:u w:val="single"/>
        </w:rPr>
      </w:pPr>
    </w:p>
    <w:p>
      <w:pPr>
        <w:pStyle w:val="56"/>
        <w:spacing w:line="360" w:lineRule="auto"/>
        <w:ind w:firstLine="0" w:firstLineChars="0"/>
        <w:rPr>
          <w:rFonts w:hint="eastAsia" w:eastAsia="黑体"/>
          <w:bCs/>
          <w:sz w:val="24"/>
          <w:lang w:val="en-US" w:eastAsia="zh-CN"/>
        </w:rPr>
      </w:pPr>
      <w:r>
        <w:rPr>
          <w:rFonts w:hint="eastAsia" w:eastAsia="黑体"/>
          <w:bCs/>
          <w:sz w:val="24"/>
          <w:lang w:val="en-US" w:eastAsia="zh-CN"/>
        </w:rPr>
        <w:t>廉洁协议书</w:t>
      </w:r>
    </w:p>
    <w:p>
      <w:pPr>
        <w:pStyle w:val="57"/>
        <w:tabs>
          <w:tab w:val="left" w:pos="1251"/>
        </w:tabs>
        <w:spacing w:line="540" w:lineRule="exact"/>
        <w:ind w:left="0" w:leftChars="0" w:firstLine="0" w:firstLineChars="0"/>
        <w:jc w:val="center"/>
        <w:rPr>
          <w:rFonts w:hint="eastAsia" w:ascii="黑体" w:hAnsi="黑体" w:eastAsia="黑体" w:cs="黑体"/>
          <w:color w:val="auto"/>
          <w:sz w:val="52"/>
          <w:szCs w:val="52"/>
          <w:lang w:val="en-US" w:eastAsia="zh-CN"/>
        </w:rPr>
      </w:pPr>
      <w:bookmarkStart w:id="144" w:name="bookmark11"/>
      <w:r>
        <w:rPr>
          <w:rFonts w:hint="eastAsia" w:ascii="黑体" w:hAnsi="黑体" w:eastAsia="黑体" w:cs="黑体"/>
          <w:color w:val="auto"/>
          <w:sz w:val="52"/>
          <w:szCs w:val="52"/>
          <w:lang w:val="en-US" w:eastAsia="zh-CN"/>
        </w:rPr>
        <w:t>隆林各族自治县中医医院</w:t>
      </w:r>
    </w:p>
    <w:p>
      <w:pPr>
        <w:pStyle w:val="57"/>
        <w:tabs>
          <w:tab w:val="left" w:pos="1251"/>
        </w:tabs>
        <w:spacing w:line="540" w:lineRule="exact"/>
        <w:ind w:left="0" w:leftChars="0"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52"/>
          <w:szCs w:val="52"/>
          <w:lang w:val="en-US" w:eastAsia="zh-CN"/>
        </w:rPr>
        <w:t>供应商廉洁承诺书</w:t>
      </w:r>
    </w:p>
    <w:bookmarkEnd w:id="144"/>
    <w:p>
      <w:pPr>
        <w:pStyle w:val="57"/>
        <w:tabs>
          <w:tab w:val="left" w:pos="1251"/>
        </w:tabs>
        <w:spacing w:line="540" w:lineRule="exact"/>
        <w:ind w:firstLine="600"/>
        <w:jc w:val="both"/>
        <w:rPr>
          <w:rFonts w:hint="eastAsia" w:ascii="华文仿宋" w:hAnsi="华文仿宋" w:eastAsia="华文仿宋"/>
          <w:color w:val="auto"/>
          <w:sz w:val="32"/>
          <w:szCs w:val="32"/>
        </w:rPr>
      </w:pP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根据医院党风廉政以及医药领域腐败问题集中治理的工作的要求，作为参与医院合作供应商，做出如下郑重承诺：</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1.在业务往来中，严格遵守医院廉洁建设的各项制度和规定，并支持医院执行有关规定和制度。</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default"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2.本公司（含工作人员）决不以任何名义向医院工作人员（含配偶、子女、亲属其他共同利益关系人员）赠送礼品（包括但不限于礼金、股份、有价证券和贵重物</w:t>
      </w:r>
      <w:r>
        <w:rPr>
          <w:rFonts w:hint="eastAsia" w:ascii="仿宋_GB2312" w:hAnsi="仿宋_GB2312" w:eastAsia="仿宋_GB2312" w:cs="仿宋_GB2312"/>
          <w:color w:val="auto"/>
          <w:w w:val="80"/>
          <w:sz w:val="32"/>
          <w:szCs w:val="32"/>
          <w:lang w:val="zh-CN" w:eastAsia="zh-CN"/>
        </w:rPr>
        <w:t>品等</w:t>
      </w:r>
      <w:r>
        <w:rPr>
          <w:rFonts w:hint="eastAsia" w:ascii="仿宋_GB2312" w:hAnsi="仿宋_GB2312" w:eastAsia="仿宋_GB2312" w:cs="仿宋_GB2312"/>
          <w:color w:val="auto"/>
          <w:w w:val="80"/>
          <w:sz w:val="32"/>
          <w:szCs w:val="32"/>
          <w:lang w:val="en-US" w:eastAsia="zh-CN"/>
        </w:rPr>
        <w:t>)；不得为医院工作人员（含配偶、子女、亲属及其他共同利益关系人员）安排工作，以及支付应由其个人自付的各种费用（包括但不限于住宅装修、食宿、子女出国、食宿等）</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3.本公司（含工作人员）不得为谋取私利擅自与医院工作人员（含配偶、子女、亲属其他共同利益关系人员）进行私下商谈或者达成默契。</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rPr>
      </w:pPr>
      <w:r>
        <w:rPr>
          <w:rFonts w:hint="eastAsia" w:ascii="仿宋_GB2312" w:hAnsi="仿宋_GB2312" w:eastAsia="仿宋_GB2312" w:cs="仿宋_GB2312"/>
          <w:color w:val="auto"/>
          <w:w w:val="80"/>
          <w:sz w:val="32"/>
          <w:szCs w:val="32"/>
          <w:lang w:val="en-US" w:eastAsia="zh-CN"/>
        </w:rPr>
        <w:t>4.本公司（含工作人员）</w:t>
      </w:r>
      <w:r>
        <w:rPr>
          <w:rFonts w:hint="eastAsia" w:ascii="仿宋_GB2312" w:hAnsi="仿宋_GB2312" w:eastAsia="仿宋_GB2312" w:cs="仿宋_GB2312"/>
          <w:color w:val="auto"/>
          <w:w w:val="80"/>
          <w:sz w:val="32"/>
          <w:szCs w:val="32"/>
        </w:rPr>
        <w:t>不得以洽谈业务、签订合同等为借口，邀请</w:t>
      </w:r>
      <w:r>
        <w:rPr>
          <w:rFonts w:hint="eastAsia" w:ascii="仿宋_GB2312" w:hAnsi="仿宋_GB2312" w:eastAsia="仿宋_GB2312" w:cs="仿宋_GB2312"/>
          <w:color w:val="auto"/>
          <w:w w:val="80"/>
          <w:sz w:val="32"/>
          <w:szCs w:val="32"/>
          <w:lang w:val="en-US" w:eastAsia="zh-CN"/>
        </w:rPr>
        <w:t>医院工作人员</w:t>
      </w:r>
      <w:r>
        <w:rPr>
          <w:rFonts w:hint="eastAsia" w:ascii="仿宋_GB2312" w:hAnsi="仿宋_GB2312" w:eastAsia="仿宋_GB2312" w:cs="仿宋_GB2312"/>
          <w:color w:val="auto"/>
          <w:w w:val="80"/>
          <w:sz w:val="32"/>
          <w:szCs w:val="32"/>
        </w:rPr>
        <w:t>（含</w:t>
      </w:r>
      <w:r>
        <w:rPr>
          <w:rFonts w:hint="eastAsia" w:ascii="仿宋_GB2312" w:hAnsi="仿宋_GB2312" w:eastAsia="仿宋_GB2312" w:cs="仿宋_GB2312"/>
          <w:color w:val="auto"/>
          <w:w w:val="80"/>
          <w:sz w:val="32"/>
          <w:szCs w:val="32"/>
          <w:lang w:val="en-US" w:eastAsia="zh-CN"/>
        </w:rPr>
        <w:t>配偶、子女、亲属及其他共同利益关系人员）</w:t>
      </w:r>
      <w:r>
        <w:rPr>
          <w:rFonts w:hint="eastAsia" w:ascii="仿宋_GB2312" w:hAnsi="仿宋_GB2312" w:eastAsia="仿宋_GB2312" w:cs="仿宋_GB2312"/>
          <w:color w:val="auto"/>
          <w:w w:val="80"/>
          <w:sz w:val="32"/>
          <w:szCs w:val="32"/>
        </w:rPr>
        <w:t>外出旅游或进入营业性娱乐场所。</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firstLine="600"/>
        <w:jc w:val="both"/>
        <w:textAlignment w:val="auto"/>
        <w:rPr>
          <w:rFonts w:hint="default"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5.本公司发现医院工作人员</w:t>
      </w:r>
      <w:r>
        <w:rPr>
          <w:rFonts w:hint="eastAsia" w:ascii="仿宋_GB2312" w:hAnsi="仿宋_GB2312" w:eastAsia="仿宋_GB2312" w:cs="仿宋_GB2312"/>
          <w:color w:val="auto"/>
          <w:w w:val="80"/>
          <w:sz w:val="32"/>
          <w:szCs w:val="32"/>
        </w:rPr>
        <w:t>（含</w:t>
      </w:r>
      <w:r>
        <w:rPr>
          <w:rFonts w:hint="eastAsia" w:ascii="仿宋_GB2312" w:hAnsi="仿宋_GB2312" w:eastAsia="仿宋_GB2312" w:cs="仿宋_GB2312"/>
          <w:color w:val="auto"/>
          <w:w w:val="80"/>
          <w:sz w:val="32"/>
          <w:szCs w:val="32"/>
          <w:lang w:val="en-US" w:eastAsia="zh-CN"/>
        </w:rPr>
        <w:t>配偶、子女、亲属及其他共同利益关系人员）有违反本承诺行为倾向的，应及时提醒纠正并向医院纪委（电话：0776-2505111）举报。</w:t>
      </w:r>
    </w:p>
    <w:p>
      <w:pPr>
        <w:pStyle w:val="57"/>
        <w:keepNext w:val="0"/>
        <w:keepLines w:val="0"/>
        <w:pageBreakBefore w:val="0"/>
        <w:widowControl w:val="0"/>
        <w:tabs>
          <w:tab w:val="left" w:pos="1251"/>
        </w:tabs>
        <w:kinsoku/>
        <w:wordWrap/>
        <w:overflowPunct/>
        <w:topLinePunct w:val="0"/>
        <w:autoSpaceDE/>
        <w:autoSpaceDN/>
        <w:bidi w:val="0"/>
        <w:adjustRightInd/>
        <w:snapToGrid/>
        <w:spacing w:line="500" w:lineRule="exact"/>
        <w:ind w:firstLine="6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6.经医院监督部门核实认定发现本公司（含工作人员）违反承诺，医院可立即取消与公司的合作，同时医院可保留追究其相应的法律责任。</w:t>
      </w:r>
    </w:p>
    <w:p>
      <w:pPr>
        <w:pStyle w:val="57"/>
        <w:tabs>
          <w:tab w:val="left" w:pos="1251"/>
        </w:tabs>
        <w:spacing w:line="540" w:lineRule="exact"/>
        <w:ind w:left="0" w:leftChars="0" w:firstLine="0" w:firstLineChars="0"/>
        <w:jc w:val="both"/>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承诺方：</w:t>
      </w:r>
    </w:p>
    <w:p>
      <w:pPr>
        <w:pStyle w:val="57"/>
        <w:tabs>
          <w:tab w:val="left" w:pos="1251"/>
        </w:tabs>
        <w:spacing w:line="540" w:lineRule="exact"/>
        <w:ind w:left="0" w:leftChars="0" w:firstLine="0" w:firstLineChars="0"/>
        <w:jc w:val="both"/>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法人代表（或委托人）：</w:t>
      </w:r>
    </w:p>
    <w:p>
      <w:pPr>
        <w:pStyle w:val="57"/>
        <w:tabs>
          <w:tab w:val="left" w:pos="1251"/>
        </w:tabs>
        <w:spacing w:line="540" w:lineRule="exact"/>
        <w:ind w:firstLine="600"/>
        <w:jc w:val="both"/>
        <w:rPr>
          <w:w w:val="80"/>
        </w:rPr>
      </w:pPr>
      <w:r>
        <w:rPr>
          <w:rFonts w:hint="eastAsia" w:ascii="仿宋_GB2312" w:hAnsi="仿宋_GB2312" w:eastAsia="仿宋_GB2312" w:cs="仿宋_GB2312"/>
          <w:color w:val="auto"/>
          <w:w w:val="80"/>
          <w:sz w:val="32"/>
          <w:szCs w:val="32"/>
          <w:lang w:val="en-US" w:eastAsia="zh-CN"/>
        </w:rPr>
        <w:t xml:space="preserve">                                               年     月     日  </w:t>
      </w:r>
    </w:p>
    <w:p>
      <w:pPr>
        <w:pStyle w:val="7"/>
        <w:tabs>
          <w:tab w:val="left" w:pos="1442"/>
        </w:tabs>
        <w:kinsoku w:val="0"/>
        <w:overflowPunct w:val="0"/>
        <w:spacing w:before="54"/>
        <w:ind w:right="66"/>
        <w:rPr>
          <w:rFonts w:hint="eastAsia" w:ascii="黑体" w:hAnsi="黑体" w:eastAsia="黑体"/>
          <w:color w:val="auto"/>
          <w:sz w:val="32"/>
          <w:szCs w:val="24"/>
          <w:highlight w:val="none"/>
        </w:rPr>
      </w:pPr>
      <w:r>
        <w:rPr>
          <w:rFonts w:hint="eastAsia" w:ascii="黑体" w:hAnsi="黑体" w:eastAsia="黑体"/>
          <w:color w:val="auto"/>
          <w:sz w:val="32"/>
          <w:szCs w:val="24"/>
          <w:highlight w:val="none"/>
        </w:rPr>
        <w:t>第六章</w:t>
      </w:r>
      <w:r>
        <w:rPr>
          <w:rFonts w:hint="eastAsia" w:ascii="黑体" w:hAnsi="黑体" w:eastAsia="黑体"/>
          <w:color w:val="auto"/>
          <w:sz w:val="32"/>
          <w:szCs w:val="24"/>
          <w:highlight w:val="none"/>
        </w:rPr>
        <w:tab/>
      </w:r>
      <w:r>
        <w:rPr>
          <w:rFonts w:hint="eastAsia" w:ascii="黑体" w:hAnsi="黑体" w:eastAsia="黑体"/>
          <w:color w:val="auto"/>
          <w:sz w:val="32"/>
          <w:szCs w:val="24"/>
          <w:highlight w:val="none"/>
        </w:rPr>
        <w:t>评定成交的标准</w:t>
      </w:r>
    </w:p>
    <w:p>
      <w:pPr>
        <w:pStyle w:val="9"/>
        <w:kinsoku w:val="0"/>
        <w:overflowPunct w:val="0"/>
        <w:spacing w:before="8"/>
        <w:rPr>
          <w:rFonts w:hint="eastAsia" w:ascii="黑体" w:hAnsi="黑体" w:eastAsia="黑体"/>
          <w:b/>
          <w:color w:val="auto"/>
          <w:sz w:val="24"/>
          <w:szCs w:val="24"/>
          <w:highlight w:val="none"/>
        </w:rPr>
      </w:pPr>
    </w:p>
    <w:p>
      <w:pPr>
        <w:pStyle w:val="12"/>
        <w:shd w:val="clear" w:color="auto" w:fill="FFFFFF"/>
        <w:spacing w:line="360" w:lineRule="auto"/>
        <w:ind w:firstLine="590" w:firstLineChars="245"/>
        <w:rPr>
          <w:rFonts w:hint="eastAsia" w:hAnsi="宋体" w:cs="宋体"/>
          <w:b/>
          <w:color w:val="auto"/>
          <w:sz w:val="24"/>
          <w:szCs w:val="24"/>
          <w:highlight w:val="none"/>
        </w:rPr>
      </w:pPr>
      <w:r>
        <w:rPr>
          <w:rFonts w:hint="eastAsia" w:hAnsi="宋体" w:cs="宋体"/>
          <w:b/>
          <w:color w:val="auto"/>
          <w:sz w:val="24"/>
          <w:szCs w:val="24"/>
          <w:highlight w:val="none"/>
        </w:rPr>
        <w:t>一、评审原则</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（一）谈判小组成员组成：本竞争性谈判采购项目的谈判小组由</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人组成。【采购人代表和评审专家共三人以上的单数组成，（达到公开招标数额标准以上的项目，竞争性谈判小组成员由五人以上单数组成），其中评审专家的人数不得少于谈判小组成员总数的三分之二。】</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（二）评审依据：以竞争性谈判文件和竞争性响应文件为依据。</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二、评审办法</w:t>
      </w:r>
    </w:p>
    <w:p>
      <w:pPr>
        <w:pStyle w:val="12"/>
        <w:keepNext w:val="0"/>
        <w:keepLines w:val="0"/>
        <w:pageBreakBefore w:val="0"/>
        <w:shd w:val="clear" w:color="auto" w:fill="FFFFFF"/>
        <w:wordWrap/>
        <w:topLinePunct w:val="0"/>
        <w:autoSpaceDE/>
        <w:autoSpaceDN/>
        <w:bidi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谈判小组将以竞争性谈判文件为依据，对资格性检查合格的竞争性响应文件进行评审，在质量和服务均能满足竞争性谈判文件实质性响应要求的供应商中，按下列程序确定成交供应商：</w:t>
      </w:r>
    </w:p>
    <w:p>
      <w:pPr>
        <w:keepNext w:val="0"/>
        <w:keepLines w:val="0"/>
        <w:pageBreakBefore w:val="0"/>
        <w:wordWrap/>
        <w:topLinePunct w:val="0"/>
        <w:autoSpaceDE/>
        <w:autoSpaceDN/>
        <w:bidi w:val="0"/>
        <w:spacing w:line="440" w:lineRule="exact"/>
        <w:ind w:firstLine="480" w:firstLineChars="200"/>
        <w:rPr>
          <w:rFonts w:hint="eastAsia"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本项目属于不专门面向中小企业采购的项目，按照《政府采购促进中小企业发展管理办法》（财库[2020]46号），对小型和微型企业最后报价给予6%的扣除，扣除后的价格为评审报价，即评审报价=最后报价×（1-6%）；大中型企业与小型、微型企业组成联合体竞标，或大中型企业向小微企业分包的，联合体或者大中型企业最后报价给予3%的扣除，扣除后的价格为评审报价，即评审报价=最后报价×（1-3%）；除上述情况外，评审报价=最后报价。</w:t>
      </w:r>
    </w:p>
    <w:p>
      <w:pPr>
        <w:pStyle w:val="12"/>
        <w:keepNext w:val="0"/>
        <w:keepLines w:val="0"/>
        <w:pageBreakBefore w:val="0"/>
        <w:shd w:val="clear" w:color="auto" w:fill="FFFFFF"/>
        <w:wordWrap/>
        <w:topLinePunct w:val="0"/>
        <w:autoSpaceDE/>
        <w:autoSpaceDN/>
        <w:bidi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2.谈判小组将以谈判文件、响应文件为评审依据，在响应文件满足谈判文件全部实质性要求且</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最低的供应商为成交候选人。</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三、成交候选人推荐和确定原则</w:t>
      </w:r>
    </w:p>
    <w:p>
      <w:pPr>
        <w:pStyle w:val="12"/>
        <w:shd w:val="clear" w:color="auto" w:fill="FFFFFF"/>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（一）竞争性响应文件在质量和服务均能满足竞争性谈判文件实质性响应要求时，谈判小组将按</w:t>
      </w:r>
      <w:r>
        <w:rPr>
          <w:rFonts w:hint="eastAsia" w:hAnsi="宋体" w:cs="宋体"/>
          <w:color w:val="auto"/>
          <w:sz w:val="24"/>
          <w:szCs w:val="24"/>
          <w:highlight w:val="none"/>
          <w:lang w:eastAsia="zh-CN"/>
        </w:rPr>
        <w:t>评审</w:t>
      </w:r>
      <w:r>
        <w:rPr>
          <w:rFonts w:hint="eastAsia" w:hAnsi="宋体" w:cs="宋体"/>
          <w:color w:val="auto"/>
          <w:sz w:val="24"/>
          <w:szCs w:val="24"/>
          <w:highlight w:val="none"/>
        </w:rPr>
        <w:t>报价由低到高顺序推荐3名以上成交候选人（</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pPr>
        <w:pStyle w:val="2"/>
        <w:shd w:val="clear" w:color="auto" w:fill="FFFFFF"/>
        <w:overflowPunct w:val="0"/>
        <w:spacing w:line="360" w:lineRule="auto"/>
        <w:rPr>
          <w:rFonts w:hint="eastAsia" w:ascii="宋体" w:hAnsi="宋体"/>
          <w:b/>
          <w:bCs/>
          <w:color w:val="auto"/>
          <w:sz w:val="24"/>
          <w:highlight w:val="none"/>
        </w:rPr>
      </w:pPr>
      <w:r>
        <w:rPr>
          <w:rFonts w:hint="eastAsia" w:cs="宋体"/>
          <w:color w:val="auto"/>
          <w:sz w:val="24"/>
          <w:szCs w:val="24"/>
          <w:highlight w:val="none"/>
        </w:rPr>
        <w:t>（二）</w:t>
      </w:r>
      <w:r>
        <w:rPr>
          <w:rFonts w:hint="eastAsia" w:ascii="宋体" w:hAnsi="宋体" w:eastAsia="宋体" w:cs="宋体"/>
          <w:color w:val="auto"/>
          <w:sz w:val="24"/>
          <w:szCs w:val="24"/>
          <w:highlight w:val="none"/>
          <w:lang w:val="en-US" w:eastAsia="zh-CN" w:bidi="ar-SA"/>
        </w:rPr>
        <w:t>谈判小组认为，某供应商的有效报价或者某些分项报价明显不合理或者低于成本，有可能影响工程质量和不能诚信履约的，应要求其在规定的期限内提供书面文件予以解释说明，并提交相关证明材料，否则，谈判小组可以取消该供应商的成交候选人资格，按顺序由排在后面的成交候选人递补，以此类推。</w:t>
      </w:r>
    </w:p>
    <w:p>
      <w:pPr>
        <w:wordWrap w:val="0"/>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pPr>
        <w:wordWrap w:val="0"/>
        <w:spacing w:line="300" w:lineRule="auto"/>
        <w:jc w:val="center"/>
        <w:rPr>
          <w:rFonts w:ascii="方正小标宋简体" w:hAnsi="方正小标宋简体" w:eastAsia="方正小标宋简体" w:cs="方正小标宋简体"/>
          <w:bCs/>
          <w:color w:val="auto"/>
          <w:sz w:val="44"/>
          <w:szCs w:val="44"/>
          <w:highlight w:val="none"/>
        </w:rPr>
      </w:pPr>
      <w:bookmarkStart w:id="145" w:name="_Toc71365383"/>
      <w:bookmarkEnd w:id="145"/>
      <w:bookmarkStart w:id="146" w:name="_Toc71366061"/>
      <w:bookmarkEnd w:id="146"/>
    </w:p>
    <w:p>
      <w:pPr>
        <w:wordWrap w:val="0"/>
        <w:spacing w:line="30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中小企业声明函（货物）</w:t>
      </w:r>
    </w:p>
    <w:p>
      <w:pPr>
        <w:wordWrap w:val="0"/>
        <w:rPr>
          <w:rFonts w:ascii="宋体" w:hAnsi="宋体" w:eastAsia="宋体" w:cs="宋体"/>
          <w:color w:val="auto"/>
          <w:sz w:val="24"/>
          <w:szCs w:val="24"/>
          <w:highlight w:val="none"/>
        </w:rPr>
      </w:pPr>
    </w:p>
    <w:p>
      <w:pPr>
        <w:pStyle w:val="9"/>
        <w:wordWrap w:val="0"/>
        <w:spacing w:line="360" w:lineRule="auto"/>
        <w:ind w:left="-426" w:right="142" w:firstLine="640"/>
        <w:contextualSpacing/>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wordWrap w:val="0"/>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tabs>
          <w:tab w:val="left" w:pos="1065"/>
          <w:tab w:val="left" w:pos="6477"/>
        </w:tabs>
        <w:wordWrap w:val="0"/>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9"/>
        <w:wordWrap w:val="0"/>
        <w:spacing w:line="360" w:lineRule="auto"/>
        <w:ind w:left="142" w:right="142"/>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9"/>
        <w:wordWrap w:val="0"/>
        <w:spacing w:line="360" w:lineRule="auto"/>
        <w:ind w:left="-425" w:leftChars="-193" w:right="142" w:firstLine="453" w:firstLineChars="189"/>
        <w:contextualSpacing/>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pStyle w:val="9"/>
        <w:wordWrap w:val="0"/>
        <w:spacing w:line="360" w:lineRule="auto"/>
        <w:ind w:left="-426" w:right="142" w:firstLine="567"/>
        <w:contextualSpacing/>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pPr>
        <w:pStyle w:val="9"/>
        <w:wordWrap w:val="0"/>
        <w:spacing w:line="360" w:lineRule="auto"/>
        <w:ind w:left="3960" w:right="1808"/>
        <w:contextualSpacing/>
        <w:rPr>
          <w:rFonts w:ascii="宋体" w:hAnsi="宋体" w:cs="宋体"/>
          <w:color w:val="auto"/>
          <w:sz w:val="24"/>
          <w:szCs w:val="24"/>
          <w:highlight w:val="none"/>
        </w:rPr>
      </w:pPr>
    </w:p>
    <w:p>
      <w:pPr>
        <w:pStyle w:val="9"/>
        <w:wordWrap w:val="0"/>
        <w:spacing w:line="360" w:lineRule="auto"/>
        <w:ind w:left="3960" w:right="1808"/>
        <w:contextualSpacing/>
        <w:rPr>
          <w:rFonts w:ascii="宋体" w:hAnsi="宋体" w:cs="宋体"/>
          <w:color w:val="auto"/>
          <w:sz w:val="24"/>
          <w:szCs w:val="24"/>
          <w:highlight w:val="none"/>
        </w:rPr>
      </w:pPr>
      <w:r>
        <w:rPr>
          <w:rFonts w:hint="eastAsia" w:ascii="宋体" w:hAnsi="宋体" w:cs="宋体"/>
          <w:color w:val="auto"/>
          <w:sz w:val="24"/>
          <w:szCs w:val="24"/>
          <w:highlight w:val="none"/>
        </w:rPr>
        <w:t xml:space="preserve">企业名称（章）： </w:t>
      </w:r>
    </w:p>
    <w:p>
      <w:pPr>
        <w:pStyle w:val="9"/>
        <w:wordWrap w:val="0"/>
        <w:spacing w:line="360" w:lineRule="auto"/>
        <w:ind w:left="3960" w:right="1808"/>
        <w:contextualSpacing/>
        <w:rPr>
          <w:rFonts w:ascii="宋体" w:hAnsi="宋体" w:cs="宋体"/>
          <w:color w:val="auto"/>
          <w:sz w:val="24"/>
          <w:szCs w:val="24"/>
          <w:highlight w:val="none"/>
        </w:rPr>
      </w:pPr>
      <w:r>
        <w:rPr>
          <w:rFonts w:hint="eastAsia" w:ascii="宋体" w:hAnsi="宋体" w:cs="宋体"/>
          <w:color w:val="auto"/>
          <w:sz w:val="24"/>
          <w:szCs w:val="24"/>
          <w:highlight w:val="none"/>
        </w:rPr>
        <w:t>日期：</w:t>
      </w:r>
    </w:p>
    <w:p>
      <w:pPr>
        <w:pStyle w:val="9"/>
        <w:wordWrap w:val="0"/>
        <w:spacing w:line="360" w:lineRule="auto"/>
        <w:ind w:left="3960" w:right="1808"/>
        <w:contextualSpacing/>
        <w:rPr>
          <w:rFonts w:ascii="宋体" w:hAnsi="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wordWrap w:val="0"/>
        <w:spacing w:line="360" w:lineRule="auto"/>
        <w:contextualSpacing/>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残疾人福利性单位声明函</w:t>
      </w:r>
    </w:p>
    <w:p>
      <w:pPr>
        <w:wordWrap w:val="0"/>
        <w:spacing w:line="520" w:lineRule="exact"/>
        <w:rPr>
          <w:rFonts w:ascii="宋体" w:hAnsi="宋体" w:eastAsia="宋体" w:cs="宋体"/>
          <w:color w:val="auto"/>
          <w:sz w:val="24"/>
          <w:szCs w:val="24"/>
          <w:highlight w:val="none"/>
        </w:rPr>
      </w:pPr>
    </w:p>
    <w:p>
      <w:pPr>
        <w:wordWrap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wordWrap w:val="0"/>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ind w:firstLine="2400" w:firstLineChars="10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单位名称（盖章）：</w:t>
      </w:r>
    </w:p>
    <w:p>
      <w:pPr>
        <w:wordWrap w:val="0"/>
        <w:spacing w:line="360" w:lineRule="auto"/>
        <w:ind w:firstLine="3600" w:firstLineChars="15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p>
    <w:p>
      <w:pPr>
        <w:wordWrap w:val="0"/>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wordWrap w:val="0"/>
        <w:spacing w:line="360" w:lineRule="auto"/>
        <w:jc w:val="center"/>
        <w:rPr>
          <w:rFonts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pPr>
        <w:wordWrap w:val="0"/>
        <w:spacing w:line="360" w:lineRule="auto"/>
        <w:jc w:val="center"/>
        <w:rPr>
          <w:rFonts w:ascii="宋体" w:hAnsi="宋体"/>
          <w:b/>
          <w:bCs/>
          <w:color w:val="auto"/>
          <w:sz w:val="32"/>
          <w:szCs w:val="32"/>
          <w:highlight w:val="none"/>
        </w:rPr>
      </w:pPr>
    </w:p>
    <w:p>
      <w:pPr>
        <w:pStyle w:val="12"/>
        <w:wordWrap w:val="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2"/>
        <w:wordWrap w:val="0"/>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pPr>
        <w:pStyle w:val="12"/>
        <w:wordWrap w:val="0"/>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pPr>
        <w:pStyle w:val="12"/>
        <w:wordWrap w:val="0"/>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pPr>
        <w:pStyle w:val="12"/>
        <w:wordWrap w:val="0"/>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pPr>
        <w:pStyle w:val="12"/>
        <w:wordWrap w:val="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pPr>
        <w:pStyle w:val="12"/>
        <w:wordWrap w:val="0"/>
        <w:spacing w:line="360" w:lineRule="auto"/>
        <w:ind w:left="26"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pPr>
        <w:pStyle w:val="12"/>
        <w:wordWrap w:val="0"/>
        <w:spacing w:line="360" w:lineRule="auto"/>
        <w:ind w:left="26"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pPr>
        <w:pStyle w:val="12"/>
        <w:wordWrap w:val="0"/>
        <w:spacing w:line="360" w:lineRule="auto"/>
        <w:ind w:left="26"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pPr>
        <w:pStyle w:val="12"/>
        <w:wordWrap w:val="0"/>
        <w:spacing w:line="360" w:lineRule="auto"/>
        <w:ind w:left="26"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pPr>
        <w:pStyle w:val="12"/>
        <w:wordWrap w:val="0"/>
        <w:spacing w:line="360" w:lineRule="auto"/>
        <w:ind w:left="26" w:leftChars="12" w:firstLine="472" w:firstLineChars="197"/>
        <w:contextualSpacing/>
        <w:rPr>
          <w:rFonts w:hAnsi="宋体"/>
          <w:color w:val="auto"/>
          <w:sz w:val="24"/>
          <w:szCs w:val="24"/>
          <w:highlight w:val="none"/>
        </w:rPr>
      </w:pPr>
      <w:r>
        <w:rPr>
          <w:rFonts w:hAnsi="宋体"/>
          <w:color w:val="auto"/>
          <w:sz w:val="24"/>
          <w:szCs w:val="24"/>
          <w:highlight w:val="none"/>
        </w:rPr>
        <w:t>……</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pPr>
        <w:pStyle w:val="12"/>
        <w:wordWrap w:val="0"/>
        <w:spacing w:line="360" w:lineRule="auto"/>
        <w:ind w:left="26" w:leftChars="12" w:firstLine="352" w:firstLineChars="147"/>
        <w:contextualSpacing/>
        <w:rPr>
          <w:rFonts w:hAnsi="宋体"/>
          <w:color w:val="auto"/>
          <w:sz w:val="24"/>
          <w:szCs w:val="24"/>
          <w:highlight w:val="none"/>
        </w:rPr>
      </w:pP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pPr>
        <w:pStyle w:val="12"/>
        <w:wordWrap w:val="0"/>
        <w:spacing w:line="360" w:lineRule="auto"/>
        <w:ind w:left="26" w:leftChars="12" w:firstLine="352" w:firstLineChars="147"/>
        <w:contextualSpacing/>
        <w:rPr>
          <w:rFonts w:hAnsi="宋体"/>
          <w:color w:val="auto"/>
          <w:sz w:val="24"/>
          <w:szCs w:val="24"/>
          <w:highlight w:val="none"/>
        </w:rPr>
      </w:pPr>
    </w:p>
    <w:p>
      <w:pPr>
        <w:pStyle w:val="12"/>
        <w:wordWrap w:val="0"/>
        <w:spacing w:line="360" w:lineRule="auto"/>
        <w:ind w:left="26"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pPr>
        <w:pStyle w:val="12"/>
        <w:wordWrap w:val="0"/>
        <w:spacing w:line="360" w:lineRule="auto"/>
        <w:contextualSpacing/>
        <w:rPr>
          <w:rFonts w:hAnsi="宋体"/>
          <w:b/>
          <w:color w:val="auto"/>
          <w:sz w:val="24"/>
          <w:szCs w:val="24"/>
          <w:highlight w:val="none"/>
        </w:rPr>
      </w:pPr>
    </w:p>
    <w:p>
      <w:pPr>
        <w:pStyle w:val="12"/>
        <w:wordWrap w:val="0"/>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pPr>
        <w:pStyle w:val="12"/>
        <w:wordWrap w:val="0"/>
        <w:spacing w:line="360" w:lineRule="auto"/>
        <w:ind w:left="26"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2"/>
        <w:wordWrap w:val="0"/>
        <w:spacing w:line="360" w:lineRule="auto"/>
        <w:ind w:left="26"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pPr>
        <w:pStyle w:val="12"/>
        <w:wordWrap w:val="0"/>
        <w:spacing w:line="360" w:lineRule="auto"/>
        <w:ind w:left="26"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pPr>
        <w:spacing w:line="360" w:lineRule="auto"/>
        <w:contextualSpacing/>
        <w:rPr>
          <w:rFonts w:ascii="宋体" w:hAnsi="宋体" w:eastAsia="宋体" w:cs="宋体"/>
          <w:color w:val="auto"/>
          <w:sz w:val="28"/>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left" w:pos="2757"/>
        </w:tabs>
        <w:rPr>
          <w:color w:val="auto"/>
          <w:highlight w:val="none"/>
        </w:rPr>
      </w:pPr>
      <w:r>
        <w:rPr>
          <w:rFonts w:hint="eastAsia"/>
          <w:color w:val="auto"/>
          <w:highlight w:val="none"/>
        </w:rPr>
        <w:tab/>
      </w:r>
    </w:p>
    <w:p>
      <w:pPr>
        <w:tabs>
          <w:tab w:val="left" w:pos="2757"/>
        </w:tabs>
        <w:rPr>
          <w:color w:val="auto"/>
          <w:highlight w:val="none"/>
        </w:rPr>
      </w:pPr>
    </w:p>
    <w:p>
      <w:pPr>
        <w:tabs>
          <w:tab w:val="left" w:pos="2757"/>
        </w:tabs>
        <w:rPr>
          <w:color w:val="auto"/>
          <w:highlight w:val="none"/>
        </w:rPr>
      </w:pPr>
    </w:p>
    <w:p>
      <w:pPr>
        <w:tabs>
          <w:tab w:val="left" w:pos="2757"/>
        </w:tabs>
        <w:rPr>
          <w:color w:val="auto"/>
          <w:highlight w:val="none"/>
        </w:rPr>
      </w:pPr>
    </w:p>
    <w:p>
      <w:pPr>
        <w:tabs>
          <w:tab w:val="left" w:pos="2757"/>
        </w:tabs>
        <w:rPr>
          <w:color w:val="auto"/>
          <w:highlight w:val="none"/>
        </w:rPr>
      </w:pPr>
    </w:p>
    <w:p>
      <w:pPr>
        <w:widowControl w:val="0"/>
        <w:adjustRightInd/>
        <w:snapToGrid/>
        <w:spacing w:after="0" w:line="360" w:lineRule="auto"/>
        <w:jc w:val="center"/>
        <w:rPr>
          <w:rFonts w:hint="eastAsia" w:ascii="Times New Roman" w:hAnsi="Times New Roman" w:eastAsia="宋体"/>
          <w:b/>
          <w:bCs/>
          <w:color w:val="auto"/>
          <w:kern w:val="2"/>
          <w:sz w:val="24"/>
          <w:szCs w:val="24"/>
          <w:highlight w:val="none"/>
        </w:rPr>
      </w:pPr>
    </w:p>
    <w:p>
      <w:pPr>
        <w:widowControl w:val="0"/>
        <w:adjustRightInd/>
        <w:snapToGrid/>
        <w:spacing w:after="0" w:line="360" w:lineRule="auto"/>
        <w:jc w:val="center"/>
        <w:rPr>
          <w:rFonts w:ascii="Times New Roman" w:hAnsi="Times New Roman" w:eastAsia="宋体"/>
          <w:b/>
          <w:bCs/>
          <w:color w:val="auto"/>
          <w:kern w:val="2"/>
          <w:sz w:val="24"/>
          <w:szCs w:val="24"/>
          <w:highlight w:val="none"/>
        </w:rPr>
      </w:pPr>
      <w:r>
        <w:rPr>
          <w:rFonts w:hint="eastAsia" w:ascii="Times New Roman" w:hAnsi="Times New Roman" w:eastAsia="宋体"/>
          <w:b/>
          <w:bCs/>
          <w:color w:val="auto"/>
          <w:kern w:val="2"/>
          <w:sz w:val="24"/>
          <w:szCs w:val="24"/>
          <w:highlight w:val="none"/>
        </w:rPr>
        <w:t>投诉书（格式）</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一、投诉相关主体基本情况：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供应商：</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法定代表人/主要负责人：</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联系电话</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授权代表：</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被投诉人1：</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地址：</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联系人：</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被投诉人2：</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相关供应商：</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地址</w:t>
      </w:r>
      <w:r>
        <w:rPr>
          <w:rFonts w:hint="eastAsia" w:ascii="Times New Roman" w:hAnsi="Times New Roman" w:eastAsia="宋体"/>
          <w:color w:val="auto"/>
          <w:kern w:val="2"/>
          <w:sz w:val="24"/>
          <w:szCs w:val="24"/>
          <w:highlight w:val="none"/>
        </w:rPr>
        <w:t>：</w:t>
      </w:r>
      <w:r>
        <w:rPr>
          <w:rFonts w:ascii="Times New Roman" w:hAnsi="Times New Roman" w:eastAsia="宋体"/>
          <w:color w:val="auto"/>
          <w:kern w:val="2"/>
          <w:sz w:val="24"/>
          <w:szCs w:val="24"/>
          <w:highlight w:val="none"/>
        </w:rPr>
        <w:t>邮编</w:t>
      </w:r>
      <w:r>
        <w:rPr>
          <w:rFonts w:hint="eastAsia"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联系人：</w:t>
      </w:r>
      <w:r>
        <w:rPr>
          <w:rFonts w:ascii="Times New Roman" w:hAnsi="Times New Roman" w:eastAsia="宋体"/>
          <w:color w:val="auto"/>
          <w:kern w:val="2"/>
          <w:sz w:val="24"/>
          <w:szCs w:val="24"/>
          <w:highlight w:val="none"/>
        </w:rPr>
        <w:t>联系</w:t>
      </w:r>
      <w:r>
        <w:rPr>
          <w:rFonts w:hint="eastAsia" w:ascii="Times New Roman" w:hAnsi="Times New Roman" w:eastAsia="宋体"/>
          <w:color w:val="auto"/>
          <w:kern w:val="2"/>
          <w:sz w:val="24"/>
          <w:szCs w:val="24"/>
          <w:highlight w:val="none"/>
        </w:rPr>
        <w:t>电话：</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二、投诉项目基本情况：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采购项目的名称：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采购项目的编号：</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采购人名称：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代理机构名称：</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采购文件公告：是/否公告期限：</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采购结果公告：是/否公告期限：</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三、质疑基本情况</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投诉人于年月日，向提出质疑，质疑事项为：</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 xml:space="preserve">采购人/代理机构于年月日，就质疑事项作出了答复/没有在法定期限内作出答复。                                                                                             </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四、投诉事项具体内容</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投诉事项1：</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事实依据：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法律依据：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 xml:space="preserve">投诉事项2  </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ascii="Times New Roman" w:hAnsi="Times New Roman" w:eastAsia="宋体"/>
          <w:color w:val="auto"/>
          <w:kern w:val="2"/>
          <w:sz w:val="24"/>
          <w:szCs w:val="24"/>
          <w:highlight w:val="none"/>
        </w:rPr>
        <w:t>……</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五、与投诉事项相关的投诉请求：</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请求：</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签字（签章）：                                       公章：</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日期：</w:t>
      </w: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说明：</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1.投诉人提起投诉时，应当提交投诉书和必要的证明材料，并按照被投诉人和与投诉事项有关的供应商数量提供投诉书副本。</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3.投诉书应简要列明质疑事项，质疑函、质疑答复等作为附件材料提供。</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4.投诉书的投诉事项应具体、明确，并有必要的事实依据和法律依据。</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5.投诉书的投诉请求应与投诉事项相关。</w:t>
      </w:r>
    </w:p>
    <w:p>
      <w:pPr>
        <w:widowControl w:val="0"/>
        <w:adjustRightInd/>
        <w:snapToGrid/>
        <w:spacing w:after="0" w:line="360" w:lineRule="auto"/>
        <w:jc w:val="both"/>
        <w:rPr>
          <w:rFonts w:ascii="Times New Roman" w:hAnsi="Times New Roman" w:eastAsia="宋体"/>
          <w:color w:val="auto"/>
          <w:kern w:val="2"/>
          <w:sz w:val="24"/>
          <w:szCs w:val="24"/>
          <w:highlight w:val="none"/>
        </w:rPr>
      </w:pPr>
      <w:r>
        <w:rPr>
          <w:rFonts w:hint="eastAsia" w:ascii="Times New Roman" w:hAnsi="Times New Roman" w:eastAsia="宋体"/>
          <w:color w:val="auto"/>
          <w:kern w:val="2"/>
          <w:sz w:val="24"/>
          <w:szCs w:val="24"/>
          <w:highlight w:val="none"/>
        </w:rPr>
        <w:t>6.投诉人为法人或者其他组织的，投诉书应由法定代表人、主要负责人，或者其授权代表签字或者盖章，并加盖公章。</w:t>
      </w:r>
    </w:p>
    <w:bookmarkEnd w:id="1"/>
    <w:p>
      <w:pPr>
        <w:tabs>
          <w:tab w:val="left" w:pos="2757"/>
        </w:tabs>
        <w:rPr>
          <w:color w:val="auto"/>
          <w:highlight w:val="none"/>
        </w:rPr>
      </w:pPr>
    </w:p>
    <w:sectPr>
      <w:headerReference r:id="rId11" w:type="default"/>
      <w:footerReference r:id="rId12" w:type="default"/>
      <w:pgSz w:w="11906" w:h="16838"/>
      <w:pgMar w:top="1134" w:right="1134" w:bottom="1134" w:left="1134"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auto"/>
    <w:pitch w:val="default"/>
    <w:sig w:usb0="00000001" w:usb1="02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rPr>
        <w:rFonts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hAnsi="Times New Roman"/>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B7FEBB"/>
    <w:multiLevelType w:val="singleLevel"/>
    <w:tmpl w:val="4CB7FEBB"/>
    <w:lvl w:ilvl="0" w:tentative="0">
      <w:start w:val="3"/>
      <w:numFmt w:val="chineseCounting"/>
      <w:suff w:val="space"/>
      <w:lvlText w:val="第%1章"/>
      <w:lvlJc w:val="left"/>
      <w:rPr>
        <w:rFonts w:hint="eastAsia"/>
      </w:rPr>
    </w:lvl>
  </w:abstractNum>
  <w:abstractNum w:abstractNumId="1">
    <w:nsid w:val="56814A4F"/>
    <w:multiLevelType w:val="multilevel"/>
    <w:tmpl w:val="56814A4F"/>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NjNhMGE5ZDY3YmMxNWQ5NzRiYzE5MDk0ZjY1NjEifQ=="/>
  </w:docVars>
  <w:rsids>
    <w:rsidRoot w:val="00172A27"/>
    <w:rsid w:val="00001E2C"/>
    <w:rsid w:val="00002700"/>
    <w:rsid w:val="000171AB"/>
    <w:rsid w:val="00027DE5"/>
    <w:rsid w:val="00034E27"/>
    <w:rsid w:val="000350E1"/>
    <w:rsid w:val="00041B20"/>
    <w:rsid w:val="00053A4D"/>
    <w:rsid w:val="00062F0F"/>
    <w:rsid w:val="000822E2"/>
    <w:rsid w:val="00091AB8"/>
    <w:rsid w:val="000A0684"/>
    <w:rsid w:val="000A417F"/>
    <w:rsid w:val="000A4A52"/>
    <w:rsid w:val="000E29A9"/>
    <w:rsid w:val="000E62CE"/>
    <w:rsid w:val="000F6288"/>
    <w:rsid w:val="000F720E"/>
    <w:rsid w:val="0010547B"/>
    <w:rsid w:val="00106227"/>
    <w:rsid w:val="001303F7"/>
    <w:rsid w:val="0013753C"/>
    <w:rsid w:val="00141F1A"/>
    <w:rsid w:val="001505FE"/>
    <w:rsid w:val="00171CAD"/>
    <w:rsid w:val="00172A27"/>
    <w:rsid w:val="0017710C"/>
    <w:rsid w:val="00194D78"/>
    <w:rsid w:val="001B35D3"/>
    <w:rsid w:val="001C1633"/>
    <w:rsid w:val="001C5E0A"/>
    <w:rsid w:val="001D27E0"/>
    <w:rsid w:val="001D5766"/>
    <w:rsid w:val="001E1DD2"/>
    <w:rsid w:val="001E6AFC"/>
    <w:rsid w:val="00207533"/>
    <w:rsid w:val="002143EE"/>
    <w:rsid w:val="00220181"/>
    <w:rsid w:val="00224005"/>
    <w:rsid w:val="00231BC4"/>
    <w:rsid w:val="00247593"/>
    <w:rsid w:val="00265956"/>
    <w:rsid w:val="002851F3"/>
    <w:rsid w:val="002B4548"/>
    <w:rsid w:val="002D1AD9"/>
    <w:rsid w:val="002D4036"/>
    <w:rsid w:val="002E3F5B"/>
    <w:rsid w:val="002E67F7"/>
    <w:rsid w:val="002F274A"/>
    <w:rsid w:val="00315E58"/>
    <w:rsid w:val="00316A3C"/>
    <w:rsid w:val="003320B9"/>
    <w:rsid w:val="00332171"/>
    <w:rsid w:val="00344171"/>
    <w:rsid w:val="0034576C"/>
    <w:rsid w:val="00347106"/>
    <w:rsid w:val="00370AD0"/>
    <w:rsid w:val="00380F12"/>
    <w:rsid w:val="00390424"/>
    <w:rsid w:val="003F2EA2"/>
    <w:rsid w:val="003F651E"/>
    <w:rsid w:val="00400198"/>
    <w:rsid w:val="00400921"/>
    <w:rsid w:val="00404673"/>
    <w:rsid w:val="0042576C"/>
    <w:rsid w:val="004263C1"/>
    <w:rsid w:val="00433EFB"/>
    <w:rsid w:val="00443E2F"/>
    <w:rsid w:val="00470187"/>
    <w:rsid w:val="00475290"/>
    <w:rsid w:val="00492410"/>
    <w:rsid w:val="004B5A72"/>
    <w:rsid w:val="004C5719"/>
    <w:rsid w:val="004F07A2"/>
    <w:rsid w:val="004F3A48"/>
    <w:rsid w:val="004F78DE"/>
    <w:rsid w:val="00507725"/>
    <w:rsid w:val="0051447A"/>
    <w:rsid w:val="00531A4A"/>
    <w:rsid w:val="00533210"/>
    <w:rsid w:val="00546B6A"/>
    <w:rsid w:val="00562873"/>
    <w:rsid w:val="00562E23"/>
    <w:rsid w:val="00577729"/>
    <w:rsid w:val="00586970"/>
    <w:rsid w:val="00586A12"/>
    <w:rsid w:val="0059058B"/>
    <w:rsid w:val="005B09CE"/>
    <w:rsid w:val="005D035F"/>
    <w:rsid w:val="005D2438"/>
    <w:rsid w:val="005E3FF3"/>
    <w:rsid w:val="005E521B"/>
    <w:rsid w:val="00603E82"/>
    <w:rsid w:val="006053EE"/>
    <w:rsid w:val="006141AD"/>
    <w:rsid w:val="0062499F"/>
    <w:rsid w:val="0063429A"/>
    <w:rsid w:val="006524FE"/>
    <w:rsid w:val="00652C3D"/>
    <w:rsid w:val="00663890"/>
    <w:rsid w:val="00685907"/>
    <w:rsid w:val="006F0395"/>
    <w:rsid w:val="006F0547"/>
    <w:rsid w:val="006F4243"/>
    <w:rsid w:val="0070202B"/>
    <w:rsid w:val="00707BD9"/>
    <w:rsid w:val="00717295"/>
    <w:rsid w:val="007320AF"/>
    <w:rsid w:val="00744E71"/>
    <w:rsid w:val="0075683D"/>
    <w:rsid w:val="00762346"/>
    <w:rsid w:val="00772167"/>
    <w:rsid w:val="00780A82"/>
    <w:rsid w:val="00784967"/>
    <w:rsid w:val="0079071A"/>
    <w:rsid w:val="00796903"/>
    <w:rsid w:val="007976B2"/>
    <w:rsid w:val="007A7AC4"/>
    <w:rsid w:val="007C45DB"/>
    <w:rsid w:val="007C63CC"/>
    <w:rsid w:val="007D5BE5"/>
    <w:rsid w:val="007E1CC3"/>
    <w:rsid w:val="007E5F0E"/>
    <w:rsid w:val="007E6B3A"/>
    <w:rsid w:val="007F3D11"/>
    <w:rsid w:val="00801303"/>
    <w:rsid w:val="00817640"/>
    <w:rsid w:val="0082740E"/>
    <w:rsid w:val="008369DA"/>
    <w:rsid w:val="00844E10"/>
    <w:rsid w:val="00850BB1"/>
    <w:rsid w:val="0085674C"/>
    <w:rsid w:val="00872FA5"/>
    <w:rsid w:val="008854C6"/>
    <w:rsid w:val="00891C22"/>
    <w:rsid w:val="008B1621"/>
    <w:rsid w:val="008D59E6"/>
    <w:rsid w:val="008F430B"/>
    <w:rsid w:val="00901024"/>
    <w:rsid w:val="00903111"/>
    <w:rsid w:val="0093082F"/>
    <w:rsid w:val="00937F32"/>
    <w:rsid w:val="009666CD"/>
    <w:rsid w:val="009A7B1E"/>
    <w:rsid w:val="009E6009"/>
    <w:rsid w:val="009E6330"/>
    <w:rsid w:val="009F357E"/>
    <w:rsid w:val="009F5FEE"/>
    <w:rsid w:val="00A45F4E"/>
    <w:rsid w:val="00A821B2"/>
    <w:rsid w:val="00AB6D8C"/>
    <w:rsid w:val="00AC22BC"/>
    <w:rsid w:val="00AC5BB7"/>
    <w:rsid w:val="00B35F22"/>
    <w:rsid w:val="00B7604B"/>
    <w:rsid w:val="00B7682B"/>
    <w:rsid w:val="00B864E1"/>
    <w:rsid w:val="00B91F15"/>
    <w:rsid w:val="00B96DF5"/>
    <w:rsid w:val="00BC1057"/>
    <w:rsid w:val="00BC392C"/>
    <w:rsid w:val="00C030FA"/>
    <w:rsid w:val="00C20E21"/>
    <w:rsid w:val="00C2288D"/>
    <w:rsid w:val="00C35BFF"/>
    <w:rsid w:val="00C43050"/>
    <w:rsid w:val="00C519E9"/>
    <w:rsid w:val="00C5253B"/>
    <w:rsid w:val="00C60FB4"/>
    <w:rsid w:val="00C63C26"/>
    <w:rsid w:val="00C6687F"/>
    <w:rsid w:val="00C75749"/>
    <w:rsid w:val="00C86B03"/>
    <w:rsid w:val="00C970C6"/>
    <w:rsid w:val="00CA011C"/>
    <w:rsid w:val="00CB59F4"/>
    <w:rsid w:val="00CD5199"/>
    <w:rsid w:val="00CD57F7"/>
    <w:rsid w:val="00CE3028"/>
    <w:rsid w:val="00CE6CCD"/>
    <w:rsid w:val="00CF0D2C"/>
    <w:rsid w:val="00D045DD"/>
    <w:rsid w:val="00D247A6"/>
    <w:rsid w:val="00D249EA"/>
    <w:rsid w:val="00D673CE"/>
    <w:rsid w:val="00D94C9D"/>
    <w:rsid w:val="00DA4C4C"/>
    <w:rsid w:val="00DF14AF"/>
    <w:rsid w:val="00E221BF"/>
    <w:rsid w:val="00E266C8"/>
    <w:rsid w:val="00E459E3"/>
    <w:rsid w:val="00E52ABC"/>
    <w:rsid w:val="00E60C37"/>
    <w:rsid w:val="00E67A8A"/>
    <w:rsid w:val="00E80333"/>
    <w:rsid w:val="00ED1995"/>
    <w:rsid w:val="00ED3A9B"/>
    <w:rsid w:val="00EE37E5"/>
    <w:rsid w:val="00EE6875"/>
    <w:rsid w:val="00EF6FCF"/>
    <w:rsid w:val="00F12577"/>
    <w:rsid w:val="00F358D8"/>
    <w:rsid w:val="00F52CAA"/>
    <w:rsid w:val="00F66FBE"/>
    <w:rsid w:val="00F701F2"/>
    <w:rsid w:val="00F77F4E"/>
    <w:rsid w:val="00F977F9"/>
    <w:rsid w:val="00FA37CA"/>
    <w:rsid w:val="00FD31E8"/>
    <w:rsid w:val="01D07B9E"/>
    <w:rsid w:val="01DD5D6B"/>
    <w:rsid w:val="01F20634"/>
    <w:rsid w:val="02A86215"/>
    <w:rsid w:val="02D44561"/>
    <w:rsid w:val="02DC1A7B"/>
    <w:rsid w:val="030E5121"/>
    <w:rsid w:val="034A4940"/>
    <w:rsid w:val="036E2937"/>
    <w:rsid w:val="0379703E"/>
    <w:rsid w:val="03811CF2"/>
    <w:rsid w:val="038C11BF"/>
    <w:rsid w:val="03BA41DB"/>
    <w:rsid w:val="04D36E3A"/>
    <w:rsid w:val="05246996"/>
    <w:rsid w:val="05571F97"/>
    <w:rsid w:val="061A3713"/>
    <w:rsid w:val="069842A0"/>
    <w:rsid w:val="06A44F4B"/>
    <w:rsid w:val="071A4CB0"/>
    <w:rsid w:val="072E1CCA"/>
    <w:rsid w:val="07643387"/>
    <w:rsid w:val="08544435"/>
    <w:rsid w:val="0855063A"/>
    <w:rsid w:val="087A414D"/>
    <w:rsid w:val="08E33653"/>
    <w:rsid w:val="0A032E28"/>
    <w:rsid w:val="0A09042E"/>
    <w:rsid w:val="0A5205E6"/>
    <w:rsid w:val="0AE07BC8"/>
    <w:rsid w:val="0AED3D82"/>
    <w:rsid w:val="0B3B0375"/>
    <w:rsid w:val="0B57548D"/>
    <w:rsid w:val="0B614F75"/>
    <w:rsid w:val="0BDA1EE5"/>
    <w:rsid w:val="0C033703"/>
    <w:rsid w:val="0C0A22C0"/>
    <w:rsid w:val="0C410B0C"/>
    <w:rsid w:val="0CF67D0F"/>
    <w:rsid w:val="0D1004D9"/>
    <w:rsid w:val="0D702F15"/>
    <w:rsid w:val="0D9D3B46"/>
    <w:rsid w:val="0DE72ECF"/>
    <w:rsid w:val="0E26212F"/>
    <w:rsid w:val="0E727599"/>
    <w:rsid w:val="0EAB55BC"/>
    <w:rsid w:val="0F17719A"/>
    <w:rsid w:val="0F58392F"/>
    <w:rsid w:val="0FD473DA"/>
    <w:rsid w:val="0FED1C75"/>
    <w:rsid w:val="100B05F1"/>
    <w:rsid w:val="10374F06"/>
    <w:rsid w:val="108260FD"/>
    <w:rsid w:val="10FA1EAC"/>
    <w:rsid w:val="11064EF6"/>
    <w:rsid w:val="11466CD7"/>
    <w:rsid w:val="11495B0F"/>
    <w:rsid w:val="11521CB9"/>
    <w:rsid w:val="117A5FE1"/>
    <w:rsid w:val="117B6038"/>
    <w:rsid w:val="11881E74"/>
    <w:rsid w:val="11A4260F"/>
    <w:rsid w:val="11AB064F"/>
    <w:rsid w:val="11B70AE7"/>
    <w:rsid w:val="11CB1D09"/>
    <w:rsid w:val="122C6E50"/>
    <w:rsid w:val="129A6A1E"/>
    <w:rsid w:val="129C078D"/>
    <w:rsid w:val="12B143EC"/>
    <w:rsid w:val="13531CEB"/>
    <w:rsid w:val="13C94267"/>
    <w:rsid w:val="13CE71AD"/>
    <w:rsid w:val="13FF370A"/>
    <w:rsid w:val="140776A0"/>
    <w:rsid w:val="14437F36"/>
    <w:rsid w:val="14CD2708"/>
    <w:rsid w:val="150945DC"/>
    <w:rsid w:val="15D471CA"/>
    <w:rsid w:val="167E3015"/>
    <w:rsid w:val="172113B1"/>
    <w:rsid w:val="174B0F87"/>
    <w:rsid w:val="177C0146"/>
    <w:rsid w:val="177F058C"/>
    <w:rsid w:val="17BC7CE2"/>
    <w:rsid w:val="190265D6"/>
    <w:rsid w:val="190343DD"/>
    <w:rsid w:val="191306C3"/>
    <w:rsid w:val="19641CFD"/>
    <w:rsid w:val="198A724D"/>
    <w:rsid w:val="19D92DC8"/>
    <w:rsid w:val="19DB0FBA"/>
    <w:rsid w:val="19F07E66"/>
    <w:rsid w:val="19FB4427"/>
    <w:rsid w:val="1A3C70F5"/>
    <w:rsid w:val="1A513802"/>
    <w:rsid w:val="1A5A43BE"/>
    <w:rsid w:val="1A841186"/>
    <w:rsid w:val="1A8A7701"/>
    <w:rsid w:val="1AAC6533"/>
    <w:rsid w:val="1B3809C7"/>
    <w:rsid w:val="1B5B2087"/>
    <w:rsid w:val="1B755D1F"/>
    <w:rsid w:val="1BA201ED"/>
    <w:rsid w:val="1C027091"/>
    <w:rsid w:val="1C0E6229"/>
    <w:rsid w:val="1C253311"/>
    <w:rsid w:val="1CE67B96"/>
    <w:rsid w:val="1D784A21"/>
    <w:rsid w:val="1D824530"/>
    <w:rsid w:val="1DA0698F"/>
    <w:rsid w:val="1E164DC8"/>
    <w:rsid w:val="1E2A05EB"/>
    <w:rsid w:val="1E656DBF"/>
    <w:rsid w:val="1F126D3F"/>
    <w:rsid w:val="1F213AC8"/>
    <w:rsid w:val="1F2F7661"/>
    <w:rsid w:val="1F69564E"/>
    <w:rsid w:val="1F854242"/>
    <w:rsid w:val="1FC90AE3"/>
    <w:rsid w:val="1FE85C28"/>
    <w:rsid w:val="1FF06356"/>
    <w:rsid w:val="20465BAD"/>
    <w:rsid w:val="20467A02"/>
    <w:rsid w:val="206930B0"/>
    <w:rsid w:val="208B78C6"/>
    <w:rsid w:val="20A078BA"/>
    <w:rsid w:val="20B4552C"/>
    <w:rsid w:val="20F04656"/>
    <w:rsid w:val="218A6608"/>
    <w:rsid w:val="219C3017"/>
    <w:rsid w:val="21EE30E8"/>
    <w:rsid w:val="222A0BDB"/>
    <w:rsid w:val="22914464"/>
    <w:rsid w:val="22A45076"/>
    <w:rsid w:val="22F664C5"/>
    <w:rsid w:val="23521CBD"/>
    <w:rsid w:val="23CC268A"/>
    <w:rsid w:val="24133D60"/>
    <w:rsid w:val="24163A8F"/>
    <w:rsid w:val="243729FB"/>
    <w:rsid w:val="246C2B13"/>
    <w:rsid w:val="250669AA"/>
    <w:rsid w:val="250953C3"/>
    <w:rsid w:val="25D971B4"/>
    <w:rsid w:val="26105DEF"/>
    <w:rsid w:val="26133841"/>
    <w:rsid w:val="26482304"/>
    <w:rsid w:val="265D64FB"/>
    <w:rsid w:val="26702AF9"/>
    <w:rsid w:val="26814249"/>
    <w:rsid w:val="26971108"/>
    <w:rsid w:val="26A07441"/>
    <w:rsid w:val="26AB5D85"/>
    <w:rsid w:val="26BD03F6"/>
    <w:rsid w:val="26E56F2E"/>
    <w:rsid w:val="272B2516"/>
    <w:rsid w:val="27500E14"/>
    <w:rsid w:val="280074F4"/>
    <w:rsid w:val="2801758C"/>
    <w:rsid w:val="28121EFC"/>
    <w:rsid w:val="28326A82"/>
    <w:rsid w:val="28C10B35"/>
    <w:rsid w:val="28FE1EB4"/>
    <w:rsid w:val="29470B43"/>
    <w:rsid w:val="29551789"/>
    <w:rsid w:val="2A0A2F1C"/>
    <w:rsid w:val="2A1D1446"/>
    <w:rsid w:val="2A40173C"/>
    <w:rsid w:val="2A4813F6"/>
    <w:rsid w:val="2AEA0FEE"/>
    <w:rsid w:val="2B634CCB"/>
    <w:rsid w:val="2B8F44C7"/>
    <w:rsid w:val="2BCD0BCE"/>
    <w:rsid w:val="2C132B15"/>
    <w:rsid w:val="2C302494"/>
    <w:rsid w:val="2C5F29F2"/>
    <w:rsid w:val="2C6C224F"/>
    <w:rsid w:val="2CDB4F90"/>
    <w:rsid w:val="2CE36573"/>
    <w:rsid w:val="2D422BB9"/>
    <w:rsid w:val="2D473EC2"/>
    <w:rsid w:val="2D650748"/>
    <w:rsid w:val="2D7918CE"/>
    <w:rsid w:val="2E0B5B8B"/>
    <w:rsid w:val="2E645B95"/>
    <w:rsid w:val="2E704221"/>
    <w:rsid w:val="2EAB5FD7"/>
    <w:rsid w:val="2EBA5744"/>
    <w:rsid w:val="2EC25FBF"/>
    <w:rsid w:val="2EC85381"/>
    <w:rsid w:val="2ED95805"/>
    <w:rsid w:val="2F571D23"/>
    <w:rsid w:val="2F5928D3"/>
    <w:rsid w:val="2F65128E"/>
    <w:rsid w:val="2F6E5A82"/>
    <w:rsid w:val="2F8C0F2F"/>
    <w:rsid w:val="2FA34546"/>
    <w:rsid w:val="300A408E"/>
    <w:rsid w:val="303346AD"/>
    <w:rsid w:val="30664AEB"/>
    <w:rsid w:val="30A139F1"/>
    <w:rsid w:val="30BD2B9F"/>
    <w:rsid w:val="30FA4276"/>
    <w:rsid w:val="31031022"/>
    <w:rsid w:val="31190629"/>
    <w:rsid w:val="31611C23"/>
    <w:rsid w:val="32AC6B6A"/>
    <w:rsid w:val="3322229C"/>
    <w:rsid w:val="333B791A"/>
    <w:rsid w:val="335A2134"/>
    <w:rsid w:val="339030F3"/>
    <w:rsid w:val="33D36529"/>
    <w:rsid w:val="33E85698"/>
    <w:rsid w:val="33E9476B"/>
    <w:rsid w:val="341A0F3A"/>
    <w:rsid w:val="34265AB8"/>
    <w:rsid w:val="345A6FD0"/>
    <w:rsid w:val="349D513D"/>
    <w:rsid w:val="35B8402D"/>
    <w:rsid w:val="35F945D0"/>
    <w:rsid w:val="36495D10"/>
    <w:rsid w:val="3653733F"/>
    <w:rsid w:val="3661055D"/>
    <w:rsid w:val="36DF0939"/>
    <w:rsid w:val="36EB7F3F"/>
    <w:rsid w:val="378A0F24"/>
    <w:rsid w:val="37B373D5"/>
    <w:rsid w:val="37C079A5"/>
    <w:rsid w:val="381265D8"/>
    <w:rsid w:val="384416C0"/>
    <w:rsid w:val="386A1849"/>
    <w:rsid w:val="387F039A"/>
    <w:rsid w:val="38863C96"/>
    <w:rsid w:val="391C2A53"/>
    <w:rsid w:val="396A3053"/>
    <w:rsid w:val="396B7FCB"/>
    <w:rsid w:val="396F43AC"/>
    <w:rsid w:val="39830641"/>
    <w:rsid w:val="39A8781A"/>
    <w:rsid w:val="39E24FC0"/>
    <w:rsid w:val="3A107C74"/>
    <w:rsid w:val="3A1F1E3C"/>
    <w:rsid w:val="3A5B234F"/>
    <w:rsid w:val="3AB161F0"/>
    <w:rsid w:val="3B112207"/>
    <w:rsid w:val="3B15391D"/>
    <w:rsid w:val="3B6D154D"/>
    <w:rsid w:val="3BBE2205"/>
    <w:rsid w:val="3BCA3FBF"/>
    <w:rsid w:val="3BD33CF3"/>
    <w:rsid w:val="3BE304F7"/>
    <w:rsid w:val="3C0D1400"/>
    <w:rsid w:val="3C32287B"/>
    <w:rsid w:val="3CBD650E"/>
    <w:rsid w:val="3CF2496A"/>
    <w:rsid w:val="3D071D20"/>
    <w:rsid w:val="3D42552F"/>
    <w:rsid w:val="3D501C4A"/>
    <w:rsid w:val="3D6169AD"/>
    <w:rsid w:val="3E3A06F4"/>
    <w:rsid w:val="3E4F69C6"/>
    <w:rsid w:val="3EA769D3"/>
    <w:rsid w:val="3EAF53EB"/>
    <w:rsid w:val="3EBF0EA0"/>
    <w:rsid w:val="3EE06230"/>
    <w:rsid w:val="3F622A54"/>
    <w:rsid w:val="3F6C15F7"/>
    <w:rsid w:val="3F965287"/>
    <w:rsid w:val="3FAA2F1E"/>
    <w:rsid w:val="403B580E"/>
    <w:rsid w:val="409177F8"/>
    <w:rsid w:val="40B80CEB"/>
    <w:rsid w:val="40D07738"/>
    <w:rsid w:val="40DB24E4"/>
    <w:rsid w:val="41127A7D"/>
    <w:rsid w:val="411323D3"/>
    <w:rsid w:val="415F428F"/>
    <w:rsid w:val="416B6487"/>
    <w:rsid w:val="41F16A05"/>
    <w:rsid w:val="4209049B"/>
    <w:rsid w:val="42860BEC"/>
    <w:rsid w:val="429D43C8"/>
    <w:rsid w:val="429F77BE"/>
    <w:rsid w:val="42A64E83"/>
    <w:rsid w:val="42AC1824"/>
    <w:rsid w:val="430F2676"/>
    <w:rsid w:val="432A241B"/>
    <w:rsid w:val="43C464C2"/>
    <w:rsid w:val="43CE4050"/>
    <w:rsid w:val="43F121F2"/>
    <w:rsid w:val="43FE77D7"/>
    <w:rsid w:val="44046DD7"/>
    <w:rsid w:val="443071E0"/>
    <w:rsid w:val="445D42AD"/>
    <w:rsid w:val="44E34649"/>
    <w:rsid w:val="44E428D9"/>
    <w:rsid w:val="453402A2"/>
    <w:rsid w:val="454B7BA4"/>
    <w:rsid w:val="45593D6B"/>
    <w:rsid w:val="45D066BD"/>
    <w:rsid w:val="460C5AFB"/>
    <w:rsid w:val="460D5887"/>
    <w:rsid w:val="461E35B1"/>
    <w:rsid w:val="462930BB"/>
    <w:rsid w:val="462A0691"/>
    <w:rsid w:val="464C4C3A"/>
    <w:rsid w:val="468C0EA6"/>
    <w:rsid w:val="46A649B7"/>
    <w:rsid w:val="47036B1B"/>
    <w:rsid w:val="471449FA"/>
    <w:rsid w:val="47194487"/>
    <w:rsid w:val="47255E5C"/>
    <w:rsid w:val="474E3B67"/>
    <w:rsid w:val="47945CBB"/>
    <w:rsid w:val="47BD144F"/>
    <w:rsid w:val="489A3F24"/>
    <w:rsid w:val="48A7019D"/>
    <w:rsid w:val="48AD74F4"/>
    <w:rsid w:val="48C44A50"/>
    <w:rsid w:val="49363385"/>
    <w:rsid w:val="49446A92"/>
    <w:rsid w:val="494B14C2"/>
    <w:rsid w:val="49722803"/>
    <w:rsid w:val="4A0A1B5F"/>
    <w:rsid w:val="4A5045E1"/>
    <w:rsid w:val="4A6971D8"/>
    <w:rsid w:val="4A7B1ED5"/>
    <w:rsid w:val="4A971D5E"/>
    <w:rsid w:val="4AB44EEE"/>
    <w:rsid w:val="4B030D86"/>
    <w:rsid w:val="4B085888"/>
    <w:rsid w:val="4B4C5BDA"/>
    <w:rsid w:val="4BE83EAB"/>
    <w:rsid w:val="4C587A51"/>
    <w:rsid w:val="4CA5048A"/>
    <w:rsid w:val="4D8350CD"/>
    <w:rsid w:val="4DB93D25"/>
    <w:rsid w:val="4E895803"/>
    <w:rsid w:val="4E965A7A"/>
    <w:rsid w:val="4E9A7F73"/>
    <w:rsid w:val="4F144212"/>
    <w:rsid w:val="4F1C0477"/>
    <w:rsid w:val="4F211DDD"/>
    <w:rsid w:val="4F307598"/>
    <w:rsid w:val="4FB31B2D"/>
    <w:rsid w:val="4FE43024"/>
    <w:rsid w:val="506866FF"/>
    <w:rsid w:val="507109B9"/>
    <w:rsid w:val="50761B8F"/>
    <w:rsid w:val="50DF1C2A"/>
    <w:rsid w:val="51123E24"/>
    <w:rsid w:val="515B3FF7"/>
    <w:rsid w:val="51733650"/>
    <w:rsid w:val="51B45A68"/>
    <w:rsid w:val="51D03F6B"/>
    <w:rsid w:val="51EC3F05"/>
    <w:rsid w:val="5221680B"/>
    <w:rsid w:val="5225717C"/>
    <w:rsid w:val="526320D9"/>
    <w:rsid w:val="52D2426D"/>
    <w:rsid w:val="53B340BA"/>
    <w:rsid w:val="53C133C5"/>
    <w:rsid w:val="5484561B"/>
    <w:rsid w:val="54CE7277"/>
    <w:rsid w:val="55596F59"/>
    <w:rsid w:val="556C6F1F"/>
    <w:rsid w:val="55E82DB8"/>
    <w:rsid w:val="56111356"/>
    <w:rsid w:val="567B7553"/>
    <w:rsid w:val="57472724"/>
    <w:rsid w:val="574F356E"/>
    <w:rsid w:val="5784368A"/>
    <w:rsid w:val="57E77304"/>
    <w:rsid w:val="583E20EB"/>
    <w:rsid w:val="58474DB3"/>
    <w:rsid w:val="58836D75"/>
    <w:rsid w:val="588F529F"/>
    <w:rsid w:val="58EE4A7D"/>
    <w:rsid w:val="596C32FE"/>
    <w:rsid w:val="59EC6604"/>
    <w:rsid w:val="5A4D6EE0"/>
    <w:rsid w:val="5A535809"/>
    <w:rsid w:val="5A977557"/>
    <w:rsid w:val="5AD003A3"/>
    <w:rsid w:val="5B3F4C37"/>
    <w:rsid w:val="5B5E7AD1"/>
    <w:rsid w:val="5B780F87"/>
    <w:rsid w:val="5B7C3383"/>
    <w:rsid w:val="5BA47969"/>
    <w:rsid w:val="5BAF4501"/>
    <w:rsid w:val="5C040630"/>
    <w:rsid w:val="5C311F56"/>
    <w:rsid w:val="5C4949A4"/>
    <w:rsid w:val="5C6113A7"/>
    <w:rsid w:val="5C686132"/>
    <w:rsid w:val="5CB151E7"/>
    <w:rsid w:val="5CC9469F"/>
    <w:rsid w:val="5CCE0C07"/>
    <w:rsid w:val="5CE72655"/>
    <w:rsid w:val="5D122CF3"/>
    <w:rsid w:val="5D1A6514"/>
    <w:rsid w:val="5D9B232B"/>
    <w:rsid w:val="5DB54A28"/>
    <w:rsid w:val="5DBB5E61"/>
    <w:rsid w:val="5DFD4EDB"/>
    <w:rsid w:val="5E8D6E3B"/>
    <w:rsid w:val="5EF12758"/>
    <w:rsid w:val="5F00633E"/>
    <w:rsid w:val="5FAB66B9"/>
    <w:rsid w:val="5FAD797A"/>
    <w:rsid w:val="5FBC3E78"/>
    <w:rsid w:val="5FCA3FEB"/>
    <w:rsid w:val="5FFB3328"/>
    <w:rsid w:val="60B206B6"/>
    <w:rsid w:val="60C43A8E"/>
    <w:rsid w:val="610925C8"/>
    <w:rsid w:val="610D574B"/>
    <w:rsid w:val="61360815"/>
    <w:rsid w:val="614441F4"/>
    <w:rsid w:val="61B966D9"/>
    <w:rsid w:val="61D0560F"/>
    <w:rsid w:val="6224555F"/>
    <w:rsid w:val="62612934"/>
    <w:rsid w:val="62814B1C"/>
    <w:rsid w:val="62973596"/>
    <w:rsid w:val="62C46F66"/>
    <w:rsid w:val="63455822"/>
    <w:rsid w:val="63536234"/>
    <w:rsid w:val="636C779B"/>
    <w:rsid w:val="63737458"/>
    <w:rsid w:val="63A624F1"/>
    <w:rsid w:val="63CB3BFC"/>
    <w:rsid w:val="64A10613"/>
    <w:rsid w:val="64E83C1C"/>
    <w:rsid w:val="655D5C3F"/>
    <w:rsid w:val="65753DD7"/>
    <w:rsid w:val="660E1648"/>
    <w:rsid w:val="663A2C3D"/>
    <w:rsid w:val="669E0853"/>
    <w:rsid w:val="66ED1880"/>
    <w:rsid w:val="68913C71"/>
    <w:rsid w:val="6909309B"/>
    <w:rsid w:val="69532BA3"/>
    <w:rsid w:val="696D68E7"/>
    <w:rsid w:val="69760F47"/>
    <w:rsid w:val="699835B8"/>
    <w:rsid w:val="6A0612C5"/>
    <w:rsid w:val="6A541BFB"/>
    <w:rsid w:val="6A924086"/>
    <w:rsid w:val="6AF72A3C"/>
    <w:rsid w:val="6B164A3A"/>
    <w:rsid w:val="6B3C16AA"/>
    <w:rsid w:val="6B494568"/>
    <w:rsid w:val="6B4D5394"/>
    <w:rsid w:val="6BB05D27"/>
    <w:rsid w:val="6BCA171F"/>
    <w:rsid w:val="6BF05E62"/>
    <w:rsid w:val="6C4A0FB4"/>
    <w:rsid w:val="6C64118D"/>
    <w:rsid w:val="6CBD7275"/>
    <w:rsid w:val="6CC25F03"/>
    <w:rsid w:val="6CE06E06"/>
    <w:rsid w:val="6CEE48B4"/>
    <w:rsid w:val="6D495C5A"/>
    <w:rsid w:val="6D782562"/>
    <w:rsid w:val="6DCF6CFE"/>
    <w:rsid w:val="6E1D5D89"/>
    <w:rsid w:val="6E744487"/>
    <w:rsid w:val="6E7A28AA"/>
    <w:rsid w:val="6EA23B48"/>
    <w:rsid w:val="6F795309"/>
    <w:rsid w:val="6F8352D8"/>
    <w:rsid w:val="6FBE477F"/>
    <w:rsid w:val="6FC154E2"/>
    <w:rsid w:val="701E5AF7"/>
    <w:rsid w:val="703D11CA"/>
    <w:rsid w:val="70D9295E"/>
    <w:rsid w:val="712223FA"/>
    <w:rsid w:val="713251D1"/>
    <w:rsid w:val="71521822"/>
    <w:rsid w:val="718E3770"/>
    <w:rsid w:val="720800C4"/>
    <w:rsid w:val="72A12A1A"/>
    <w:rsid w:val="72EE6247"/>
    <w:rsid w:val="731536B9"/>
    <w:rsid w:val="732E7062"/>
    <w:rsid w:val="735A5289"/>
    <w:rsid w:val="73746CAE"/>
    <w:rsid w:val="73A4483D"/>
    <w:rsid w:val="73CA1B85"/>
    <w:rsid w:val="73F02D35"/>
    <w:rsid w:val="74116AEC"/>
    <w:rsid w:val="74145513"/>
    <w:rsid w:val="74292079"/>
    <w:rsid w:val="746B30C1"/>
    <w:rsid w:val="748157CD"/>
    <w:rsid w:val="7482565E"/>
    <w:rsid w:val="74A97587"/>
    <w:rsid w:val="74B71445"/>
    <w:rsid w:val="75493695"/>
    <w:rsid w:val="757C79FB"/>
    <w:rsid w:val="75A637D7"/>
    <w:rsid w:val="760578D6"/>
    <w:rsid w:val="76561EB2"/>
    <w:rsid w:val="76A058F9"/>
    <w:rsid w:val="76C06B17"/>
    <w:rsid w:val="76CE3B21"/>
    <w:rsid w:val="76E4761D"/>
    <w:rsid w:val="76F809DE"/>
    <w:rsid w:val="779E1382"/>
    <w:rsid w:val="781A6FB5"/>
    <w:rsid w:val="788C70A2"/>
    <w:rsid w:val="78906BEE"/>
    <w:rsid w:val="79134885"/>
    <w:rsid w:val="7934545C"/>
    <w:rsid w:val="797029C3"/>
    <w:rsid w:val="79FC5A2F"/>
    <w:rsid w:val="7A072CED"/>
    <w:rsid w:val="7A513E12"/>
    <w:rsid w:val="7A5C7447"/>
    <w:rsid w:val="7AB56222"/>
    <w:rsid w:val="7ADB5996"/>
    <w:rsid w:val="7AF370C1"/>
    <w:rsid w:val="7AF4653C"/>
    <w:rsid w:val="7AFF2BC0"/>
    <w:rsid w:val="7B0E12AB"/>
    <w:rsid w:val="7B3121DA"/>
    <w:rsid w:val="7B6A04E4"/>
    <w:rsid w:val="7B6E5D6D"/>
    <w:rsid w:val="7B9E0AFE"/>
    <w:rsid w:val="7BE672C7"/>
    <w:rsid w:val="7BF03B2B"/>
    <w:rsid w:val="7C335A8C"/>
    <w:rsid w:val="7C550C36"/>
    <w:rsid w:val="7D056EC5"/>
    <w:rsid w:val="7D106C8C"/>
    <w:rsid w:val="7D3138AA"/>
    <w:rsid w:val="7DB14BAF"/>
    <w:rsid w:val="7DBD077C"/>
    <w:rsid w:val="7DC479E7"/>
    <w:rsid w:val="7DE444E8"/>
    <w:rsid w:val="7E1C6174"/>
    <w:rsid w:val="7E322F7A"/>
    <w:rsid w:val="7E49615E"/>
    <w:rsid w:val="7FEB03A3"/>
    <w:rsid w:val="7FEB7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nhideWhenUsed="0" w:uiPriority="6" w:semiHidden="0" w:name="heading 4" w:locked="1"/>
    <w:lsdException w:qFormat="1" w:uiPriority="1"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9"/>
    <w:pPr>
      <w:keepNext/>
      <w:keepLines/>
      <w:spacing w:before="260" w:after="260" w:line="416" w:lineRule="auto"/>
      <w:outlineLvl w:val="2"/>
    </w:pPr>
    <w:rPr>
      <w:b/>
      <w:bCs/>
      <w:sz w:val="32"/>
      <w:szCs w:val="32"/>
    </w:rPr>
  </w:style>
  <w:style w:type="paragraph" w:styleId="6">
    <w:name w:val="heading 4"/>
    <w:basedOn w:val="1"/>
    <w:next w:val="1"/>
    <w:qFormat/>
    <w:locked/>
    <w:uiPriority w:val="6"/>
    <w:pPr>
      <w:keepNext/>
      <w:keepLines/>
      <w:tabs>
        <w:tab w:val="left" w:pos="2880"/>
      </w:tabs>
      <w:spacing w:before="280" w:after="290" w:line="376" w:lineRule="atLeast"/>
      <w:ind w:left="2880" w:hanging="360"/>
      <w:jc w:val="left"/>
      <w:outlineLvl w:val="3"/>
    </w:pPr>
    <w:rPr>
      <w:rFonts w:ascii="Arial" w:hAnsi="Arial" w:eastAsia="黑体" w:cs="Arial"/>
      <w:b/>
      <w:sz w:val="28"/>
      <w:szCs w:val="20"/>
    </w:rPr>
  </w:style>
  <w:style w:type="paragraph" w:styleId="7">
    <w:name w:val="heading 5"/>
    <w:basedOn w:val="1"/>
    <w:next w:val="1"/>
    <w:unhideWhenUsed/>
    <w:qFormat/>
    <w:locked/>
    <w:uiPriority w:val="1"/>
    <w:pPr>
      <w:jc w:val="center"/>
      <w:outlineLvl w:val="4"/>
    </w:pPr>
    <w:rPr>
      <w:rFonts w:hint="eastAsia"/>
      <w:b/>
      <w:sz w:val="32"/>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line="360" w:lineRule="atLeast"/>
      <w:ind w:firstLine="420"/>
      <w:textAlignment w:val="baseline"/>
    </w:pPr>
    <w:rPr>
      <w:szCs w:val="20"/>
    </w:rPr>
  </w:style>
  <w:style w:type="paragraph" w:styleId="8">
    <w:name w:val="annotation text"/>
    <w:basedOn w:val="1"/>
    <w:link w:val="28"/>
    <w:qFormat/>
    <w:uiPriority w:val="99"/>
  </w:style>
  <w:style w:type="paragraph" w:styleId="9">
    <w:name w:val="Body Text"/>
    <w:basedOn w:val="1"/>
    <w:link w:val="30"/>
    <w:qFormat/>
    <w:uiPriority w:val="99"/>
    <w:pPr>
      <w:widowControl w:val="0"/>
      <w:adjustRightInd/>
      <w:snapToGrid/>
      <w:spacing w:after="0"/>
      <w:jc w:val="center"/>
    </w:pPr>
    <w:rPr>
      <w:rFonts w:ascii="Times New Roman" w:hAnsi="Times New Roman" w:eastAsia="宋体"/>
      <w:sz w:val="52"/>
      <w:szCs w:val="20"/>
    </w:rPr>
  </w:style>
  <w:style w:type="paragraph" w:styleId="10">
    <w:name w:val="Body Text Indent"/>
    <w:basedOn w:val="1"/>
    <w:qFormat/>
    <w:locked/>
    <w:uiPriority w:val="0"/>
    <w:pPr>
      <w:spacing w:line="200" w:lineRule="exact"/>
      <w:ind w:firstLine="301"/>
    </w:pPr>
    <w:rPr>
      <w:rFonts w:ascii="宋体" w:hAnsi="Courier New"/>
      <w:spacing w:val="-4"/>
      <w:sz w:val="18"/>
      <w:szCs w:val="20"/>
    </w:rPr>
  </w:style>
  <w:style w:type="paragraph" w:styleId="11">
    <w:name w:val="index 4"/>
    <w:basedOn w:val="1"/>
    <w:next w:val="1"/>
    <w:qFormat/>
    <w:locked/>
    <w:uiPriority w:val="99"/>
    <w:pPr>
      <w:ind w:left="600" w:leftChars="600"/>
    </w:pPr>
    <w:rPr>
      <w:szCs w:val="24"/>
    </w:rPr>
  </w:style>
  <w:style w:type="paragraph" w:styleId="12">
    <w:name w:val="Plain Text"/>
    <w:basedOn w:val="1"/>
    <w:link w:val="35"/>
    <w:qFormat/>
    <w:uiPriority w:val="99"/>
    <w:pPr>
      <w:widowControl w:val="0"/>
      <w:adjustRightInd/>
      <w:snapToGrid/>
      <w:spacing w:after="0"/>
      <w:jc w:val="both"/>
    </w:pPr>
    <w:rPr>
      <w:rFonts w:ascii="宋体" w:hAnsi="Times New Roman" w:eastAsia="宋体"/>
      <w:sz w:val="21"/>
      <w:szCs w:val="20"/>
    </w:rPr>
  </w:style>
  <w:style w:type="paragraph" w:styleId="13">
    <w:name w:val="Balloon Text"/>
    <w:basedOn w:val="1"/>
    <w:link w:val="32"/>
    <w:semiHidden/>
    <w:qFormat/>
    <w:uiPriority w:val="99"/>
    <w:rPr>
      <w:sz w:val="18"/>
      <w:szCs w:val="18"/>
    </w:rPr>
  </w:style>
  <w:style w:type="paragraph" w:styleId="14">
    <w:name w:val="footer"/>
    <w:basedOn w:val="1"/>
    <w:link w:val="33"/>
    <w:qFormat/>
    <w:uiPriority w:val="99"/>
    <w:pPr>
      <w:tabs>
        <w:tab w:val="center" w:pos="4153"/>
        <w:tab w:val="right" w:pos="8306"/>
      </w:tabs>
    </w:pPr>
    <w:rPr>
      <w:sz w:val="18"/>
      <w:szCs w:val="18"/>
    </w:rPr>
  </w:style>
  <w:style w:type="paragraph" w:styleId="15">
    <w:name w:val="header"/>
    <w:basedOn w:val="1"/>
    <w:link w:val="34"/>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unhideWhenUsed/>
    <w:qFormat/>
    <w:locked/>
    <w:uiPriority w:val="39"/>
  </w:style>
  <w:style w:type="paragraph" w:styleId="17">
    <w:name w:val="toc 2"/>
    <w:basedOn w:val="1"/>
    <w:next w:val="1"/>
    <w:unhideWhenUsed/>
    <w:qFormat/>
    <w:locked/>
    <w:uiPriority w:val="39"/>
    <w:pPr>
      <w:tabs>
        <w:tab w:val="right" w:leader="dot" w:pos="8296"/>
      </w:tabs>
      <w:ind w:left="420" w:leftChars="200"/>
    </w:pPr>
  </w:style>
  <w:style w:type="paragraph" w:styleId="18">
    <w:name w:val="Normal (Web)"/>
    <w:basedOn w:val="1"/>
    <w:next w:val="1"/>
    <w:qFormat/>
    <w:uiPriority w:val="99"/>
    <w:pPr>
      <w:adjustRightInd/>
      <w:snapToGrid/>
      <w:spacing w:before="280" w:after="280"/>
      <w:jc w:val="both"/>
    </w:pPr>
    <w:rPr>
      <w:rFonts w:ascii="宋体" w:hAnsi="Times New Roman" w:eastAsia="宋体"/>
      <w:sz w:val="24"/>
      <w:szCs w:val="20"/>
    </w:rPr>
  </w:style>
  <w:style w:type="paragraph" w:styleId="19">
    <w:name w:val="annotation subject"/>
    <w:basedOn w:val="8"/>
    <w:next w:val="8"/>
    <w:link w:val="29"/>
    <w:semiHidden/>
    <w:qFormat/>
    <w:uiPriority w:val="99"/>
    <w:rPr>
      <w:b/>
      <w:bCs/>
    </w:rPr>
  </w:style>
  <w:style w:type="paragraph" w:styleId="20">
    <w:name w:val="Body Text First Indent 2"/>
    <w:basedOn w:val="10"/>
    <w:qFormat/>
    <w:locked/>
    <w:uiPriority w:val="0"/>
    <w:pPr>
      <w:spacing w:before="100" w:beforeAutospacing="1" w:after="120"/>
      <w:ind w:left="420" w:leftChars="200" w:firstLine="420" w:firstLineChars="200"/>
    </w:pPr>
    <w:rPr>
      <w:rFonts w:ascii="Times New Roman" w:hAnsi="Times New Roman"/>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semiHidden/>
    <w:qFormat/>
    <w:uiPriority w:val="99"/>
    <w:rPr>
      <w:rFonts w:ascii="微软雅黑" w:hAnsi="微软雅黑" w:eastAsia="微软雅黑" w:cs="微软雅黑"/>
      <w:color w:val="02396F"/>
      <w:u w:val="single"/>
    </w:rPr>
  </w:style>
  <w:style w:type="character" w:styleId="25">
    <w:name w:val="Hyperlink"/>
    <w:basedOn w:val="23"/>
    <w:semiHidden/>
    <w:qFormat/>
    <w:uiPriority w:val="99"/>
    <w:rPr>
      <w:rFonts w:ascii="微软雅黑" w:hAnsi="微软雅黑" w:eastAsia="微软雅黑" w:cs="微软雅黑"/>
      <w:color w:val="02396F"/>
      <w:u w:val="single"/>
    </w:rPr>
  </w:style>
  <w:style w:type="character" w:styleId="26">
    <w:name w:val="annotation reference"/>
    <w:basedOn w:val="23"/>
    <w:semiHidden/>
    <w:qFormat/>
    <w:uiPriority w:val="99"/>
    <w:rPr>
      <w:rFonts w:cs="Times New Roman"/>
      <w:sz w:val="21"/>
      <w:szCs w:val="21"/>
    </w:rPr>
  </w:style>
  <w:style w:type="paragraph" w:customStyle="1" w:styleId="27">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28">
    <w:name w:val="批注文字 字符"/>
    <w:basedOn w:val="23"/>
    <w:link w:val="8"/>
    <w:semiHidden/>
    <w:qFormat/>
    <w:locked/>
    <w:uiPriority w:val="99"/>
    <w:rPr>
      <w:rFonts w:ascii="Tahoma" w:hAnsi="Tahoma" w:eastAsia="微软雅黑" w:cs="Times New Roman"/>
      <w:kern w:val="0"/>
      <w:sz w:val="22"/>
    </w:rPr>
  </w:style>
  <w:style w:type="character" w:customStyle="1" w:styleId="29">
    <w:name w:val="批注主题 字符"/>
    <w:basedOn w:val="28"/>
    <w:link w:val="19"/>
    <w:semiHidden/>
    <w:qFormat/>
    <w:locked/>
    <w:uiPriority w:val="99"/>
    <w:rPr>
      <w:rFonts w:ascii="Tahoma" w:hAnsi="Tahoma" w:eastAsia="微软雅黑" w:cs="Times New Roman"/>
      <w:b/>
      <w:bCs/>
      <w:kern w:val="0"/>
      <w:sz w:val="22"/>
    </w:rPr>
  </w:style>
  <w:style w:type="character" w:customStyle="1" w:styleId="30">
    <w:name w:val="正文文本 字符"/>
    <w:basedOn w:val="23"/>
    <w:link w:val="9"/>
    <w:semiHidden/>
    <w:qFormat/>
    <w:locked/>
    <w:uiPriority w:val="99"/>
    <w:rPr>
      <w:rFonts w:ascii="Tahoma" w:hAnsi="Tahoma" w:eastAsia="微软雅黑" w:cs="Times New Roman"/>
      <w:kern w:val="0"/>
      <w:sz w:val="22"/>
    </w:rPr>
  </w:style>
  <w:style w:type="character" w:customStyle="1" w:styleId="31">
    <w:name w:val="Plain Text Char"/>
    <w:basedOn w:val="23"/>
    <w:semiHidden/>
    <w:qFormat/>
    <w:locked/>
    <w:uiPriority w:val="99"/>
    <w:rPr>
      <w:rFonts w:ascii="宋体" w:hAnsi="Courier New" w:cs="Courier New"/>
      <w:kern w:val="0"/>
      <w:sz w:val="21"/>
      <w:szCs w:val="21"/>
    </w:rPr>
  </w:style>
  <w:style w:type="character" w:customStyle="1" w:styleId="32">
    <w:name w:val="批注框文本 字符"/>
    <w:basedOn w:val="23"/>
    <w:link w:val="13"/>
    <w:semiHidden/>
    <w:qFormat/>
    <w:locked/>
    <w:uiPriority w:val="99"/>
    <w:rPr>
      <w:rFonts w:ascii="Tahoma" w:hAnsi="Tahoma" w:eastAsia="微软雅黑" w:cs="Times New Roman"/>
      <w:kern w:val="0"/>
      <w:sz w:val="2"/>
    </w:rPr>
  </w:style>
  <w:style w:type="character" w:customStyle="1" w:styleId="33">
    <w:name w:val="页脚 字符"/>
    <w:basedOn w:val="23"/>
    <w:link w:val="14"/>
    <w:semiHidden/>
    <w:qFormat/>
    <w:locked/>
    <w:uiPriority w:val="99"/>
    <w:rPr>
      <w:rFonts w:ascii="Tahoma" w:hAnsi="Tahoma" w:eastAsia="微软雅黑" w:cs="Times New Roman"/>
      <w:kern w:val="0"/>
      <w:sz w:val="18"/>
      <w:szCs w:val="18"/>
    </w:rPr>
  </w:style>
  <w:style w:type="character" w:customStyle="1" w:styleId="34">
    <w:name w:val="页眉 字符"/>
    <w:basedOn w:val="23"/>
    <w:link w:val="15"/>
    <w:semiHidden/>
    <w:qFormat/>
    <w:locked/>
    <w:uiPriority w:val="99"/>
    <w:rPr>
      <w:rFonts w:ascii="Tahoma" w:hAnsi="Tahoma" w:eastAsia="微软雅黑" w:cs="Times New Roman"/>
      <w:kern w:val="0"/>
      <w:sz w:val="18"/>
      <w:szCs w:val="18"/>
    </w:rPr>
  </w:style>
  <w:style w:type="character" w:customStyle="1" w:styleId="35">
    <w:name w:val="纯文本 字符"/>
    <w:link w:val="12"/>
    <w:qFormat/>
    <w:locked/>
    <w:uiPriority w:val="99"/>
    <w:rPr>
      <w:rFonts w:ascii="宋体" w:eastAsia="宋体"/>
      <w:sz w:val="21"/>
      <w:lang w:val="en-US" w:eastAsia="zh-CN"/>
    </w:rPr>
  </w:style>
  <w:style w:type="character" w:customStyle="1" w:styleId="36">
    <w:name w:val="gjfg"/>
    <w:basedOn w:val="23"/>
    <w:qFormat/>
    <w:uiPriority w:val="99"/>
    <w:rPr>
      <w:rFonts w:cs="Times New Roman"/>
    </w:rPr>
  </w:style>
  <w:style w:type="character" w:customStyle="1" w:styleId="37">
    <w:name w:val="cfdate"/>
    <w:basedOn w:val="23"/>
    <w:qFormat/>
    <w:uiPriority w:val="99"/>
    <w:rPr>
      <w:rFonts w:cs="Times New Roman"/>
      <w:color w:val="333333"/>
      <w:sz w:val="18"/>
      <w:szCs w:val="18"/>
    </w:rPr>
  </w:style>
  <w:style w:type="character" w:customStyle="1" w:styleId="38">
    <w:name w:val="displayarti"/>
    <w:basedOn w:val="23"/>
    <w:qFormat/>
    <w:uiPriority w:val="99"/>
    <w:rPr>
      <w:rFonts w:cs="Times New Roman"/>
      <w:color w:val="FFFFFF"/>
      <w:shd w:val="clear" w:color="auto" w:fill="A00000"/>
    </w:rPr>
  </w:style>
  <w:style w:type="character" w:customStyle="1" w:styleId="39">
    <w:name w:val="redfilenumber"/>
    <w:basedOn w:val="23"/>
    <w:qFormat/>
    <w:uiPriority w:val="99"/>
    <w:rPr>
      <w:rFonts w:cs="Times New Roman"/>
      <w:color w:val="BA2636"/>
      <w:sz w:val="18"/>
      <w:szCs w:val="18"/>
    </w:rPr>
  </w:style>
  <w:style w:type="character" w:customStyle="1" w:styleId="40">
    <w:name w:val="qxdate"/>
    <w:basedOn w:val="23"/>
    <w:qFormat/>
    <w:uiPriority w:val="99"/>
    <w:rPr>
      <w:rFonts w:cs="Times New Roman"/>
      <w:color w:val="333333"/>
      <w:sz w:val="18"/>
      <w:szCs w:val="18"/>
    </w:rPr>
  </w:style>
  <w:style w:type="character" w:customStyle="1" w:styleId="41">
    <w:name w:val="redfilefwwh"/>
    <w:basedOn w:val="23"/>
    <w:qFormat/>
    <w:uiPriority w:val="99"/>
    <w:rPr>
      <w:rFonts w:cs="Times New Roman"/>
      <w:color w:val="BA2636"/>
      <w:sz w:val="18"/>
      <w:szCs w:val="18"/>
    </w:rPr>
  </w:style>
  <w:style w:type="paragraph" w:customStyle="1" w:styleId="42">
    <w:name w:val="修订1"/>
    <w:hidden/>
    <w:qFormat/>
    <w:uiPriority w:val="99"/>
    <w:rPr>
      <w:rFonts w:ascii="Tahoma" w:hAnsi="Tahoma" w:eastAsia="微软雅黑" w:cs="Times New Roman"/>
      <w:sz w:val="22"/>
      <w:szCs w:val="22"/>
      <w:lang w:val="en-US" w:eastAsia="zh-CN" w:bidi="ar-SA"/>
    </w:rPr>
  </w:style>
  <w:style w:type="character" w:customStyle="1" w:styleId="43">
    <w:name w:val="font31"/>
    <w:basedOn w:val="23"/>
    <w:qFormat/>
    <w:uiPriority w:val="0"/>
    <w:rPr>
      <w:rFonts w:hint="eastAsia" w:ascii="宋体" w:hAnsi="宋体" w:eastAsia="宋体" w:cs="宋体"/>
      <w:color w:val="000000"/>
      <w:sz w:val="22"/>
      <w:szCs w:val="22"/>
      <w:u w:val="none"/>
    </w:rPr>
  </w:style>
  <w:style w:type="character" w:customStyle="1" w:styleId="44">
    <w:name w:val="font01"/>
    <w:basedOn w:val="23"/>
    <w:qFormat/>
    <w:uiPriority w:val="0"/>
    <w:rPr>
      <w:rFonts w:hint="eastAsia" w:ascii="宋体" w:hAnsi="宋体" w:eastAsia="宋体" w:cs="宋体"/>
      <w:color w:val="000000"/>
      <w:sz w:val="22"/>
      <w:szCs w:val="22"/>
      <w:u w:val="none"/>
    </w:rPr>
  </w:style>
  <w:style w:type="character" w:customStyle="1" w:styleId="45">
    <w:name w:val="NormalCharacter"/>
    <w:semiHidden/>
    <w:qFormat/>
    <w:uiPriority w:val="0"/>
    <w:rPr>
      <w:kern w:val="2"/>
      <w:sz w:val="21"/>
      <w:szCs w:val="24"/>
      <w:lang w:val="en-US" w:eastAsia="zh-CN" w:bidi="ar-SA"/>
    </w:rPr>
  </w:style>
  <w:style w:type="paragraph" w:customStyle="1" w:styleId="46">
    <w:name w:val="TOC5"/>
    <w:basedOn w:val="1"/>
    <w:next w:val="1"/>
    <w:qFormat/>
    <w:uiPriority w:val="0"/>
    <w:pPr>
      <w:ind w:left="1680" w:leftChars="800"/>
      <w:jc w:val="both"/>
      <w:textAlignment w:val="baseline"/>
    </w:pPr>
    <w:rPr>
      <w:rFonts w:ascii="Calibri" w:hAnsi="Calibri"/>
      <w:sz w:val="24"/>
    </w:rPr>
  </w:style>
  <w:style w:type="paragraph" w:customStyle="1" w:styleId="47">
    <w:name w:val="PlainText"/>
    <w:basedOn w:val="1"/>
    <w:next w:val="48"/>
    <w:qFormat/>
    <w:uiPriority w:val="0"/>
    <w:pPr>
      <w:jc w:val="both"/>
      <w:textAlignment w:val="baseline"/>
    </w:pPr>
    <w:rPr>
      <w:rFonts w:ascii="宋体" w:hAnsi="Courier New"/>
      <w:sz w:val="21"/>
      <w:szCs w:val="21"/>
    </w:rPr>
  </w:style>
  <w:style w:type="paragraph" w:customStyle="1" w:styleId="48">
    <w:name w:val="Heading4"/>
    <w:basedOn w:val="1"/>
    <w:next w:val="1"/>
    <w:qFormat/>
    <w:uiPriority w:val="0"/>
    <w:pPr>
      <w:keepNext/>
      <w:keepLines/>
      <w:spacing w:line="360" w:lineRule="auto"/>
      <w:jc w:val="both"/>
      <w:textAlignment w:val="baseline"/>
    </w:pPr>
    <w:rPr>
      <w:rFonts w:ascii="Arial" w:hAnsi="Arial"/>
      <w:b/>
      <w:kern w:val="2"/>
      <w:sz w:val="28"/>
      <w:szCs w:val="20"/>
    </w:rPr>
  </w:style>
  <w:style w:type="character" w:customStyle="1" w:styleId="49">
    <w:name w:val="font61"/>
    <w:basedOn w:val="23"/>
    <w:qFormat/>
    <w:uiPriority w:val="0"/>
    <w:rPr>
      <w:rFonts w:ascii="Calibri" w:hAnsi="Calibri" w:cs="Calibri"/>
      <w:color w:val="000000"/>
      <w:sz w:val="20"/>
      <w:szCs w:val="20"/>
      <w:u w:val="none"/>
    </w:rPr>
  </w:style>
  <w:style w:type="character" w:customStyle="1" w:styleId="50">
    <w:name w:val="font51"/>
    <w:basedOn w:val="23"/>
    <w:qFormat/>
    <w:uiPriority w:val="0"/>
    <w:rPr>
      <w:rFonts w:hint="eastAsia" w:ascii="宋体" w:hAnsi="宋体" w:eastAsia="宋体" w:cs="宋体"/>
      <w:color w:val="000000"/>
      <w:sz w:val="20"/>
      <w:szCs w:val="20"/>
      <w:u w:val="none"/>
    </w:rPr>
  </w:style>
  <w:style w:type="character" w:customStyle="1" w:styleId="51">
    <w:name w:val="font41"/>
    <w:basedOn w:val="23"/>
    <w:qFormat/>
    <w:uiPriority w:val="0"/>
    <w:rPr>
      <w:rFonts w:hint="eastAsia" w:ascii="宋体" w:hAnsi="宋体" w:eastAsia="宋体" w:cs="宋体"/>
      <w:color w:val="FF0000"/>
      <w:sz w:val="18"/>
      <w:szCs w:val="18"/>
      <w:u w:val="none"/>
    </w:rPr>
  </w:style>
  <w:style w:type="character" w:customStyle="1" w:styleId="52">
    <w:name w:val="font21"/>
    <w:basedOn w:val="23"/>
    <w:qFormat/>
    <w:uiPriority w:val="0"/>
    <w:rPr>
      <w:rFonts w:hint="eastAsia" w:ascii="宋体" w:hAnsi="宋体" w:eastAsia="宋体" w:cs="宋体"/>
      <w:color w:val="000000"/>
      <w:sz w:val="20"/>
      <w:szCs w:val="20"/>
      <w:u w:val="none"/>
    </w:rPr>
  </w:style>
  <w:style w:type="character" w:customStyle="1" w:styleId="53">
    <w:name w:val="font71"/>
    <w:basedOn w:val="23"/>
    <w:qFormat/>
    <w:uiPriority w:val="0"/>
    <w:rPr>
      <w:rFonts w:hint="eastAsia" w:ascii="宋体" w:hAnsi="宋体" w:eastAsia="宋体" w:cs="宋体"/>
      <w:color w:val="FF0000"/>
      <w:sz w:val="18"/>
      <w:szCs w:val="18"/>
      <w:u w:val="none"/>
    </w:rPr>
  </w:style>
  <w:style w:type="paragraph" w:customStyle="1" w:styleId="54">
    <w:name w:val="Table Paragraph"/>
    <w:qFormat/>
    <w:uiPriority w:val="1"/>
    <w:pPr>
      <w:widowControl w:val="0"/>
    </w:pPr>
    <w:rPr>
      <w:rFonts w:ascii="Calibri" w:hAnsi="Calibri" w:eastAsia="宋体" w:cs="Times New Roman"/>
      <w:sz w:val="22"/>
      <w:szCs w:val="22"/>
      <w:lang w:val="en-US" w:eastAsia="en-US" w:bidi="ar-SA"/>
    </w:rPr>
  </w:style>
  <w:style w:type="paragraph" w:customStyle="1" w:styleId="55">
    <w:name w:val="List Paragraph1"/>
    <w:basedOn w:val="1"/>
    <w:qFormat/>
    <w:uiPriority w:val="0"/>
    <w:pPr>
      <w:ind w:firstLine="420" w:firstLineChars="200"/>
    </w:pPr>
    <w:rPr>
      <w:szCs w:val="21"/>
    </w:rPr>
  </w:style>
  <w:style w:type="paragraph" w:customStyle="1" w:styleId="56">
    <w:name w:val="彩色列表1"/>
    <w:basedOn w:val="1"/>
    <w:qFormat/>
    <w:uiPriority w:val="99"/>
    <w:pPr>
      <w:ind w:firstLine="420" w:firstLineChars="200"/>
    </w:pPr>
    <w:rPr>
      <w:szCs w:val="24"/>
    </w:rPr>
  </w:style>
  <w:style w:type="paragraph" w:customStyle="1" w:styleId="57">
    <w:name w:val="Body text|1"/>
    <w:basedOn w:val="1"/>
    <w:qFormat/>
    <w:uiPriority w:val="99"/>
    <w:pPr>
      <w:spacing w:line="408" w:lineRule="auto"/>
      <w:ind w:firstLine="400"/>
    </w:pPr>
    <w:rPr>
      <w:rFonts w:ascii="宋体" w:hAnsi="宋体" w:cs="宋体"/>
      <w:sz w:val="26"/>
      <w:szCs w:val="26"/>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19154</Words>
  <Characters>20908</Characters>
  <Lines>230</Lines>
  <Paragraphs>65</Paragraphs>
  <TotalTime>19</TotalTime>
  <ScaleCrop>false</ScaleCrop>
  <LinksUpToDate>false</LinksUpToDate>
  <CharactersWithSpaces>21304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2024-09-10T03:38:00Z</dcterms:created>
  <dc:creator>教头</dc:creator>
  <cp:lastModifiedBy>蔓蒂</cp:lastModifiedBy>
  <cp:lastPrinted>2025-10-11T01:46:00Z</cp:lastPrinted>
  <dcterms:modified xsi:type="dcterms:W3CDTF">2025-10-11T09:44:56Z</dcterms:modified>
  <dc:title>广西天柱建设管理有限公司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C9194269F1C64DEBA64A80B5038376A4</vt:lpwstr>
  </property>
  <property fmtid="{D5CDD505-2E9C-101B-9397-08002B2CF9AE}" pid="4" name="KSOTemplateDocerSaveRecord">
    <vt:lpwstr>eyJoZGlkIjoiNGI2NjNhMGE5ZDY3YmMxNWQ5NzRiYzE5MDk0ZjY1NjEiLCJ1c2VySWQiOiIxNjQwOTA1OTYifQ==</vt:lpwstr>
  </property>
</Properties>
</file>