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附件1：基本需求</w:t>
      </w:r>
    </w:p>
    <w:tbl>
      <w:tblPr>
        <w:tblStyle w:val="4"/>
        <w:tblW w:w="871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763"/>
        <w:gridCol w:w="6064"/>
        <w:gridCol w:w="624"/>
        <w:gridCol w:w="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需求意向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需求描述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肺功能仪（小肺）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1.基础功能参数: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项目覆盖:需支持肺通气功能(FVC、FEV1、FEV1/FVC、PEF等)、肺活量(VC、IC、ERV等)、用力呼气流量容积曲线(MEFV)等基础项目;若用于进阶评估，需支持支气管舒张试验、肺弥散功能(DLco)、残气量(RV)等(根据项目需求明确)。精度要求:流量传感器精度:误差≤士3%(或士0.05L/s，取较大值);容积测量精度:误差≤士2%(或士50mL，取较大值);时间测量精度:≤士0.1秒(用于FEV1等时间相关指标)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性能指标流量范围:至少覆盖0-16L/s(成人)、0-8L/s(儿童，若需儿科应用);容积范围:成人≥8L，儿童&gt;3L;响应时间:≤10ms(确保快速捕捉瞬间流量变化，如PEF);重复性:同一患者3次检测中，FEV1和FVC的变异系数&lt;5%(或差值≤150mL)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ind w:lef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FF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7"/>
          <w:szCs w:val="27"/>
          <w:lang w:val="en-US" w:eastAsia="zh-CN"/>
        </w:rPr>
        <w:t>注：各公司所参与调研产品必须满足以上需求。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F59FD"/>
    <w:rsid w:val="323C32E3"/>
    <w:rsid w:val="378E3F35"/>
    <w:rsid w:val="3E693644"/>
    <w:rsid w:val="5C7F59FD"/>
    <w:rsid w:val="6F5A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120" w:after="120"/>
      <w:jc w:val="center"/>
      <w:outlineLvl w:val="1"/>
    </w:pPr>
    <w:rPr>
      <w:rFonts w:ascii="宋体" w:hAnsi="宋体"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2025-08-18T08:45:00Z</dcterms:created>
  <dc:creator>自治县中医医院</dc:creator>
  <cp:lastModifiedBy>自治县中医医院</cp:lastModifiedBy>
  <dcterms:modified xsi:type="dcterms:W3CDTF">2025-08-18T09:22:48Z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6DB9F5B497504B09AAF16D13BF67C4C4</vt:lpwstr>
  </property>
</Properties>
</file>