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附件4：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儿童型</w:t>
      </w:r>
      <w:r>
        <w:rPr>
          <w:rFonts w:hint="eastAsia" w:ascii="仿宋" w:hAnsi="仿宋" w:eastAsia="仿宋" w:cs="仿宋"/>
          <w:sz w:val="36"/>
          <w:szCs w:val="36"/>
        </w:rPr>
        <w:t>智能呼吸振荡排痰系统要求参数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及响应情况表</w:t>
      </w: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40"/>
        <w:gridCol w:w="4350"/>
        <w:gridCol w:w="204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参数、功能、配置及服务要求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响应情况（正、负、无偏离）</w:t>
            </w: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智能呼吸振荡排痰系统</w:t>
            </w: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电压:100-230V宽电压设计，50-60HZ;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运用高频震荡技术(HFCWO);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主机具有双充气通道，两条气道同时进出气体;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主机可同屏显示剩余治疗时间;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时间 1-90min 任意调节;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1-20 级别精细可调;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3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30档精细调节;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具备普通手动模式和渐进程序模式;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充气式背心，背衬可以更换、消毒处理、机洗或干洗，防止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交叉感染。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35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背心配备不低于4件</w:t>
            </w:r>
          </w:p>
        </w:tc>
        <w:tc>
          <w:tcPr>
            <w:tcW w:w="2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9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E38A0"/>
    <w:rsid w:val="3D4C27D8"/>
    <w:rsid w:val="62F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2025-02-10T09:27:00Z</dcterms:created>
  <dc:creator>Administrator</dc:creator>
  <cp:lastModifiedBy>Administrator</cp:lastModifiedBy>
  <dcterms:modified xsi:type="dcterms:W3CDTF">2025-02-11T00:33:46Z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8F4ABA934F1B4B758F7EC7516FE3F002</vt:lpwstr>
  </property>
</Properties>
</file>