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000000"/>
          <w:kern w:val="0"/>
          <w:sz w:val="30"/>
          <w:szCs w:val="30"/>
        </w:rPr>
      </w:pPr>
      <w:r>
        <w:rPr>
          <w:rFonts w:hint="eastAsia" w:ascii="宋体" w:hAnsi="宋体" w:eastAsia="宋体" w:cs="宋体"/>
          <w:bCs/>
          <w:color w:val="000000"/>
          <w:kern w:val="0"/>
          <w:sz w:val="30"/>
          <w:szCs w:val="30"/>
        </w:rPr>
        <w:t>附件3</w:t>
      </w:r>
    </w:p>
    <w:p>
      <w:pPr>
        <w:widowControl/>
        <w:snapToGrid w:val="0"/>
        <w:jc w:val="center"/>
        <w:rPr>
          <w:rFonts w:hint="eastAsia" w:ascii="方正小标宋简体" w:hAnsi="黑体" w:eastAsia="方正小标宋简体" w:cs="Helvetica"/>
          <w:bCs/>
          <w:color w:val="000000"/>
          <w:kern w:val="0"/>
          <w:sz w:val="44"/>
          <w:szCs w:val="44"/>
        </w:rPr>
      </w:pPr>
      <w:r>
        <w:rPr>
          <w:rFonts w:hint="eastAsia" w:ascii="方正小标宋简体" w:hAnsi="黑体" w:eastAsia="方正小标宋简体" w:cs="Helvetica"/>
          <w:bCs/>
          <w:color w:val="000000"/>
          <w:kern w:val="0"/>
          <w:sz w:val="44"/>
          <w:szCs w:val="44"/>
          <w:lang w:eastAsia="zh-CN"/>
        </w:rPr>
        <w:t>西药、中成药</w:t>
      </w:r>
      <w:r>
        <w:rPr>
          <w:rFonts w:hint="eastAsia" w:ascii="方正小标宋简体" w:hAnsi="黑体" w:eastAsia="方正小标宋简体" w:cs="Helvetica"/>
          <w:bCs/>
          <w:color w:val="000000"/>
          <w:kern w:val="0"/>
          <w:sz w:val="44"/>
          <w:szCs w:val="44"/>
        </w:rPr>
        <w:t>配送企业遴选评分表</w:t>
      </w:r>
    </w:p>
    <w:tbl>
      <w:tblPr>
        <w:tblStyle w:val="4"/>
        <w:tblW w:w="5525" w:type="pct"/>
        <w:jc w:val="center"/>
        <w:tblLayout w:type="autofit"/>
        <w:tblCellMar>
          <w:top w:w="0" w:type="dxa"/>
          <w:left w:w="108" w:type="dxa"/>
          <w:bottom w:w="0" w:type="dxa"/>
          <w:right w:w="108" w:type="dxa"/>
        </w:tblCellMar>
      </w:tblPr>
      <w:tblGrid>
        <w:gridCol w:w="1463"/>
        <w:gridCol w:w="1610"/>
        <w:gridCol w:w="2350"/>
        <w:gridCol w:w="740"/>
        <w:gridCol w:w="571"/>
        <w:gridCol w:w="742"/>
        <w:gridCol w:w="1941"/>
      </w:tblGrid>
      <w:tr>
        <w:tblPrEx>
          <w:tblCellMar>
            <w:top w:w="0" w:type="dxa"/>
            <w:left w:w="108" w:type="dxa"/>
            <w:bottom w:w="0" w:type="dxa"/>
            <w:right w:w="108" w:type="dxa"/>
          </w:tblCellMar>
        </w:tblPrEx>
        <w:trPr>
          <w:trHeight w:val="723" w:hRule="atLeast"/>
          <w:jc w:val="center"/>
        </w:trPr>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Times New Roman" w:hAnsi="Times New Roman" w:eastAsia="宋体" w:cs="Times New Roman"/>
                <w:b/>
                <w:bCs/>
                <w:kern w:val="0"/>
                <w:sz w:val="24"/>
              </w:rPr>
            </w:pPr>
            <w:r>
              <w:rPr>
                <w:rFonts w:ascii="Times New Roman" w:hAnsi="Times New Roman" w:eastAsia="宋体" w:cs="Times New Roman"/>
                <w:b/>
                <w:bCs/>
                <w:kern w:val="0"/>
                <w:sz w:val="24"/>
              </w:rPr>
              <w:t>一级指标</w:t>
            </w:r>
          </w:p>
        </w:tc>
        <w:tc>
          <w:tcPr>
            <w:tcW w:w="8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kern w:val="0"/>
                <w:sz w:val="24"/>
              </w:rPr>
            </w:pPr>
            <w:r>
              <w:rPr>
                <w:rFonts w:ascii="Times New Roman" w:hAnsi="Times New Roman" w:eastAsia="宋体" w:cs="Times New Roman"/>
                <w:b/>
                <w:bCs/>
                <w:kern w:val="0"/>
                <w:sz w:val="24"/>
              </w:rPr>
              <w:t>二级指标</w:t>
            </w:r>
          </w:p>
        </w:tc>
        <w:tc>
          <w:tcPr>
            <w:tcW w:w="124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kern w:val="0"/>
                <w:sz w:val="24"/>
              </w:rPr>
            </w:pPr>
            <w:r>
              <w:rPr>
                <w:rFonts w:ascii="Times New Roman" w:hAnsi="Times New Roman" w:eastAsia="宋体" w:cs="Times New Roman"/>
                <w:b/>
                <w:bCs/>
                <w:kern w:val="0"/>
                <w:sz w:val="24"/>
              </w:rPr>
              <w:t>评价细则</w:t>
            </w:r>
          </w:p>
        </w:tc>
        <w:tc>
          <w:tcPr>
            <w:tcW w:w="39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kern w:val="0"/>
                <w:sz w:val="24"/>
              </w:rPr>
            </w:pPr>
            <w:r>
              <w:rPr>
                <w:rFonts w:ascii="Times New Roman" w:hAnsi="Times New Roman" w:eastAsia="宋体" w:cs="Times New Roman"/>
                <w:b/>
                <w:bCs/>
                <w:kern w:val="0"/>
                <w:sz w:val="24"/>
              </w:rPr>
              <w:t>分值</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宋体" w:cs="Times New Roman"/>
                <w:b/>
                <w:bCs/>
                <w:kern w:val="0"/>
                <w:sz w:val="24"/>
                <w:lang w:eastAsia="zh-CN"/>
              </w:rPr>
            </w:pPr>
            <w:r>
              <w:rPr>
                <w:rFonts w:hint="eastAsia" w:ascii="Times New Roman" w:hAnsi="Times New Roman" w:eastAsia="宋体" w:cs="Times New Roman"/>
                <w:b/>
                <w:bCs/>
                <w:kern w:val="0"/>
                <w:sz w:val="24"/>
                <w:lang w:val="en-US" w:eastAsia="zh-CN"/>
              </w:rPr>
              <w:t>企业自评</w:t>
            </w:r>
          </w:p>
        </w:tc>
        <w:tc>
          <w:tcPr>
            <w:tcW w:w="39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b/>
                <w:bCs/>
                <w:kern w:val="0"/>
                <w:sz w:val="24"/>
                <w:lang w:val="en-US" w:eastAsia="zh-CN"/>
              </w:rPr>
              <w:t>医院评分</w:t>
            </w:r>
          </w:p>
        </w:tc>
        <w:tc>
          <w:tcPr>
            <w:tcW w:w="102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rPr>
            </w:pPr>
            <w:r>
              <w:rPr>
                <w:rFonts w:ascii="Times New Roman" w:hAnsi="Times New Roman" w:eastAsia="宋体" w:cs="Times New Roman"/>
                <w:b/>
                <w:bCs/>
                <w:kern w:val="0"/>
                <w:sz w:val="24"/>
              </w:rPr>
              <w:t>备注</w:t>
            </w:r>
          </w:p>
        </w:tc>
      </w:tr>
      <w:tr>
        <w:tblPrEx>
          <w:tblCellMar>
            <w:top w:w="0" w:type="dxa"/>
            <w:left w:w="108" w:type="dxa"/>
            <w:bottom w:w="0" w:type="dxa"/>
            <w:right w:w="108" w:type="dxa"/>
          </w:tblCellMar>
        </w:tblPrEx>
        <w:trPr>
          <w:trHeight w:val="450" w:hRule="atLeast"/>
          <w:jc w:val="center"/>
        </w:trPr>
        <w:tc>
          <w:tcPr>
            <w:tcW w:w="77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1.</w:t>
            </w:r>
            <w:r>
              <w:rPr>
                <w:rFonts w:ascii="Times New Roman" w:hAnsi="Times New Roman" w:eastAsia="宋体" w:cs="Times New Roman"/>
                <w:b/>
                <w:bCs/>
                <w:kern w:val="0"/>
                <w:sz w:val="24"/>
              </w:rPr>
              <w:t>供货能力（25分）</w:t>
            </w:r>
          </w:p>
        </w:tc>
        <w:tc>
          <w:tcPr>
            <w:tcW w:w="855" w:type="pct"/>
            <w:vMerge w:val="restart"/>
            <w:tcBorders>
              <w:top w:val="nil"/>
              <w:left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1.1</w:t>
            </w:r>
            <w:r>
              <w:rPr>
                <w:rFonts w:ascii="Times New Roman" w:hAnsi="Times New Roman" w:eastAsia="宋体" w:cs="Times New Roman"/>
                <w:kern w:val="0"/>
                <w:sz w:val="22"/>
                <w:szCs w:val="22"/>
              </w:rPr>
              <w:t>品种数量（</w:t>
            </w:r>
            <w:r>
              <w:rPr>
                <w:rFonts w:hint="eastAsia" w:ascii="Times New Roman" w:hAnsi="Times New Roman" w:eastAsia="宋体" w:cs="Times New Roman"/>
                <w:kern w:val="0"/>
                <w:sz w:val="22"/>
                <w:szCs w:val="22"/>
                <w:lang w:val="en-US" w:eastAsia="zh-CN"/>
              </w:rPr>
              <w:t>1</w:t>
            </w:r>
            <w:r>
              <w:rPr>
                <w:rFonts w:hint="eastAsia" w:ascii="Times New Roman" w:hAnsi="Times New Roman" w:eastAsia="宋体" w:cs="Times New Roman"/>
                <w:kern w:val="0"/>
                <w:sz w:val="22"/>
                <w:szCs w:val="22"/>
              </w:rPr>
              <w:t>5</w:t>
            </w:r>
            <w:r>
              <w:rPr>
                <w:rFonts w:ascii="Times New Roman" w:hAnsi="Times New Roman" w:eastAsia="宋体" w:cs="Times New Roman"/>
                <w:kern w:val="0"/>
                <w:sz w:val="22"/>
                <w:szCs w:val="22"/>
              </w:rPr>
              <w:t>分）</w:t>
            </w:r>
          </w:p>
        </w:tc>
        <w:tc>
          <w:tcPr>
            <w:tcW w:w="12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400种</w:t>
            </w:r>
            <w:r>
              <w:rPr>
                <w:rFonts w:hint="eastAsia" w:ascii="Times New Roman" w:hAnsi="Times New Roman" w:eastAsia="宋体" w:cs="Times New Roman"/>
                <w:kern w:val="0"/>
                <w:sz w:val="22"/>
                <w:szCs w:val="22"/>
              </w:rPr>
              <w:t>以下</w:t>
            </w:r>
            <w:r>
              <w:rPr>
                <w:rFonts w:ascii="Times New Roman" w:hAnsi="Times New Roman" w:eastAsia="宋体" w:cs="Times New Roman"/>
                <w:kern w:val="0"/>
                <w:sz w:val="22"/>
                <w:szCs w:val="22"/>
              </w:rPr>
              <w:t>（含）</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2"/>
                <w:szCs w:val="22"/>
                <w:lang w:eastAsia="zh-CN"/>
              </w:rPr>
            </w:pPr>
            <w:r>
              <w:rPr>
                <w:rFonts w:hint="eastAsia" w:ascii="Times New Roman" w:hAnsi="Times New Roman" w:eastAsia="宋体" w:cs="Times New Roman"/>
                <w:kern w:val="0"/>
                <w:sz w:val="22"/>
                <w:szCs w:val="22"/>
                <w:lang w:val="en-US" w:eastAsia="zh-CN"/>
              </w:rPr>
              <w:t>3</w:t>
            </w:r>
          </w:p>
        </w:tc>
        <w:tc>
          <w:tcPr>
            <w:tcW w:w="303" w:type="pct"/>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393" w:type="pct"/>
            <w:vMerge w:val="restart"/>
            <w:tcBorders>
              <w:top w:val="nil"/>
              <w:left w:val="single" w:color="auto" w:sz="4" w:space="0"/>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028"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 w:val="22"/>
                <w:szCs w:val="22"/>
              </w:rPr>
            </w:pPr>
            <w:r>
              <w:rPr>
                <w:rFonts w:ascii="Times New Roman" w:hAnsi="Times New Roman" w:eastAsia="宋体" w:cs="Times New Roman"/>
                <w:kern w:val="0"/>
                <w:sz w:val="22"/>
                <w:szCs w:val="22"/>
              </w:rPr>
              <w:t>以企业在广西药品和医用耗材招采管理系统“药品交易”模块可配送药品品种、规格的数量为依据。</w:t>
            </w:r>
          </w:p>
        </w:tc>
      </w:tr>
      <w:tr>
        <w:tblPrEx>
          <w:tblCellMar>
            <w:top w:w="0" w:type="dxa"/>
            <w:left w:w="108" w:type="dxa"/>
            <w:bottom w:w="0" w:type="dxa"/>
            <w:right w:w="108" w:type="dxa"/>
          </w:tblCellMar>
        </w:tblPrEx>
        <w:trPr>
          <w:trHeight w:val="450" w:hRule="atLeast"/>
          <w:jc w:val="center"/>
        </w:trPr>
        <w:tc>
          <w:tcPr>
            <w:tcW w:w="77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855" w:type="pct"/>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2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400种-600种（含）</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2"/>
                <w:szCs w:val="22"/>
                <w:lang w:eastAsia="zh-CN"/>
              </w:rPr>
            </w:pPr>
            <w:r>
              <w:rPr>
                <w:rFonts w:hint="eastAsia" w:ascii="Times New Roman" w:hAnsi="Times New Roman" w:eastAsia="宋体" w:cs="Times New Roman"/>
                <w:kern w:val="0"/>
                <w:sz w:val="22"/>
                <w:szCs w:val="22"/>
                <w:lang w:val="en-US" w:eastAsia="zh-CN"/>
              </w:rPr>
              <w:t>6</w:t>
            </w:r>
          </w:p>
        </w:tc>
        <w:tc>
          <w:tcPr>
            <w:tcW w:w="303" w:type="pct"/>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393" w:type="pct"/>
            <w:vMerge w:val="continue"/>
            <w:tcBorders>
              <w:left w:val="single" w:color="auto" w:sz="4" w:space="0"/>
              <w:right w:val="single" w:color="auto" w:sz="4" w:space="0"/>
            </w:tcBorders>
            <w:vAlign w:val="center"/>
          </w:tcPr>
          <w:p>
            <w:pPr>
              <w:widowControl/>
              <w:ind w:left="660" w:hanging="660" w:hangingChars="300"/>
              <w:jc w:val="left"/>
              <w:rPr>
                <w:rFonts w:ascii="Times New Roman" w:hAnsi="Times New Roman" w:eastAsia="宋体" w:cs="Times New Roman"/>
                <w:kern w:val="0"/>
                <w:sz w:val="22"/>
                <w:szCs w:val="22"/>
              </w:rPr>
            </w:pPr>
          </w:p>
        </w:tc>
        <w:tc>
          <w:tcPr>
            <w:tcW w:w="102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450" w:hRule="atLeast"/>
          <w:jc w:val="center"/>
        </w:trPr>
        <w:tc>
          <w:tcPr>
            <w:tcW w:w="77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855" w:type="pct"/>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2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600种-800种（含）</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2"/>
                <w:szCs w:val="22"/>
                <w:lang w:eastAsia="zh-CN"/>
              </w:rPr>
            </w:pPr>
            <w:r>
              <w:rPr>
                <w:rFonts w:hint="eastAsia" w:ascii="Times New Roman" w:hAnsi="Times New Roman" w:eastAsia="宋体" w:cs="Times New Roman"/>
                <w:kern w:val="0"/>
                <w:sz w:val="22"/>
                <w:szCs w:val="22"/>
                <w:lang w:val="en-US" w:eastAsia="zh-CN"/>
              </w:rPr>
              <w:t>9</w:t>
            </w:r>
          </w:p>
        </w:tc>
        <w:tc>
          <w:tcPr>
            <w:tcW w:w="303" w:type="pct"/>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393" w:type="pct"/>
            <w:vMerge w:val="continue"/>
            <w:tcBorders>
              <w:left w:val="single" w:color="auto" w:sz="4" w:space="0"/>
              <w:right w:val="single" w:color="auto" w:sz="4" w:space="0"/>
            </w:tcBorders>
            <w:vAlign w:val="center"/>
          </w:tcPr>
          <w:p>
            <w:pPr>
              <w:widowControl/>
              <w:ind w:left="660" w:hanging="660" w:hangingChars="300"/>
              <w:jc w:val="left"/>
              <w:rPr>
                <w:rFonts w:ascii="Times New Roman" w:hAnsi="Times New Roman" w:eastAsia="宋体" w:cs="Times New Roman"/>
                <w:kern w:val="0"/>
                <w:sz w:val="22"/>
                <w:szCs w:val="22"/>
              </w:rPr>
            </w:pPr>
          </w:p>
        </w:tc>
        <w:tc>
          <w:tcPr>
            <w:tcW w:w="102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450" w:hRule="atLeast"/>
          <w:jc w:val="center"/>
        </w:trPr>
        <w:tc>
          <w:tcPr>
            <w:tcW w:w="77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855" w:type="pct"/>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2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800种-1000种（含）</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12</w:t>
            </w:r>
          </w:p>
        </w:tc>
        <w:tc>
          <w:tcPr>
            <w:tcW w:w="303" w:type="pct"/>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393" w:type="pct"/>
            <w:vMerge w:val="continue"/>
            <w:tcBorders>
              <w:left w:val="single" w:color="auto" w:sz="4" w:space="0"/>
              <w:right w:val="single" w:color="auto" w:sz="4" w:space="0"/>
            </w:tcBorders>
            <w:vAlign w:val="center"/>
          </w:tcPr>
          <w:p>
            <w:pPr>
              <w:widowControl/>
              <w:ind w:left="660" w:hanging="660" w:hangingChars="300"/>
              <w:jc w:val="left"/>
              <w:rPr>
                <w:rFonts w:ascii="Times New Roman" w:hAnsi="Times New Roman" w:eastAsia="宋体" w:cs="Times New Roman"/>
                <w:kern w:val="0"/>
                <w:sz w:val="22"/>
                <w:szCs w:val="22"/>
              </w:rPr>
            </w:pPr>
          </w:p>
        </w:tc>
        <w:tc>
          <w:tcPr>
            <w:tcW w:w="102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450" w:hRule="atLeast"/>
          <w:jc w:val="center"/>
        </w:trPr>
        <w:tc>
          <w:tcPr>
            <w:tcW w:w="77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855" w:type="pct"/>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2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1000种以上</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lang w:val="en-US" w:eastAsia="zh-CN"/>
              </w:rPr>
              <w:t>1</w:t>
            </w:r>
            <w:r>
              <w:rPr>
                <w:rFonts w:hint="eastAsia" w:ascii="Times New Roman" w:hAnsi="Times New Roman" w:eastAsia="宋体" w:cs="Times New Roman"/>
                <w:kern w:val="0"/>
                <w:sz w:val="22"/>
                <w:szCs w:val="22"/>
              </w:rPr>
              <w:t>5</w:t>
            </w:r>
          </w:p>
        </w:tc>
        <w:tc>
          <w:tcPr>
            <w:tcW w:w="303" w:type="pct"/>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393" w:type="pct"/>
            <w:vMerge w:val="continue"/>
            <w:tcBorders>
              <w:left w:val="single" w:color="auto" w:sz="4" w:space="0"/>
              <w:bottom w:val="single" w:color="auto" w:sz="4" w:space="0"/>
              <w:right w:val="single" w:color="auto" w:sz="4" w:space="0"/>
            </w:tcBorders>
            <w:vAlign w:val="center"/>
          </w:tcPr>
          <w:p>
            <w:pPr>
              <w:widowControl/>
              <w:ind w:left="660" w:hanging="660" w:hangingChars="300"/>
              <w:jc w:val="left"/>
              <w:rPr>
                <w:rFonts w:ascii="Times New Roman" w:hAnsi="Times New Roman" w:eastAsia="宋体" w:cs="Times New Roman"/>
                <w:kern w:val="0"/>
                <w:sz w:val="22"/>
                <w:szCs w:val="22"/>
              </w:rPr>
            </w:pPr>
          </w:p>
        </w:tc>
        <w:tc>
          <w:tcPr>
            <w:tcW w:w="102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1125" w:hRule="atLeast"/>
          <w:jc w:val="center"/>
        </w:trPr>
        <w:tc>
          <w:tcPr>
            <w:tcW w:w="77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85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1.2</w:t>
            </w:r>
            <w:r>
              <w:rPr>
                <w:rFonts w:ascii="Times New Roman" w:hAnsi="Times New Roman" w:eastAsia="宋体" w:cs="Times New Roman"/>
                <w:kern w:val="0"/>
                <w:sz w:val="22"/>
                <w:szCs w:val="22"/>
              </w:rPr>
              <w:t>经营范围（</w:t>
            </w:r>
            <w:r>
              <w:rPr>
                <w:rFonts w:hint="eastAsia" w:ascii="Times New Roman" w:hAnsi="Times New Roman" w:eastAsia="宋体" w:cs="Times New Roman"/>
                <w:kern w:val="0"/>
                <w:sz w:val="22"/>
                <w:szCs w:val="22"/>
              </w:rPr>
              <w:t>10</w:t>
            </w:r>
            <w:r>
              <w:rPr>
                <w:rFonts w:ascii="Times New Roman" w:hAnsi="Times New Roman" w:eastAsia="宋体" w:cs="Times New Roman"/>
                <w:kern w:val="0"/>
                <w:sz w:val="22"/>
                <w:szCs w:val="22"/>
              </w:rPr>
              <w:t>分）</w:t>
            </w:r>
          </w:p>
        </w:tc>
        <w:tc>
          <w:tcPr>
            <w:tcW w:w="12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经营范围包括中成药、化学原料药、化学药制剂、抗生素原料药、抗生素制剂、生物制品、生化药品的得5分</w:t>
            </w:r>
            <w:r>
              <w:rPr>
                <w:rFonts w:ascii="Times New Roman" w:hAnsi="Times New Roman" w:eastAsia="宋体" w:cs="Times New Roman"/>
                <w:kern w:val="0"/>
                <w:sz w:val="22"/>
                <w:szCs w:val="22"/>
              </w:rPr>
              <w:t>；</w:t>
            </w:r>
            <w:r>
              <w:rPr>
                <w:rFonts w:hint="eastAsia" w:ascii="Times New Roman" w:hAnsi="Times New Roman" w:eastAsia="宋体" w:cs="Times New Roman"/>
                <w:kern w:val="0"/>
                <w:sz w:val="22"/>
                <w:szCs w:val="22"/>
              </w:rPr>
              <w:t>企业除上述经营范围之外，同时还经营疫苗、一类、二类精神药品、麻醉药品、医疗用毒性药品等特殊药品可得5分。每少一项</w:t>
            </w:r>
            <w:r>
              <w:rPr>
                <w:rFonts w:hint="eastAsia"/>
              </w:rPr>
              <w:t>经营范围</w:t>
            </w:r>
            <w:r>
              <w:rPr>
                <w:rFonts w:hint="eastAsia" w:ascii="Times New Roman" w:hAnsi="Times New Roman" w:eastAsia="宋体" w:cs="Times New Roman"/>
                <w:kern w:val="0"/>
                <w:sz w:val="22"/>
                <w:szCs w:val="22"/>
              </w:rPr>
              <w:t>扣1分。</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10</w:t>
            </w:r>
          </w:p>
        </w:tc>
        <w:tc>
          <w:tcPr>
            <w:tcW w:w="303"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393" w:type="pct"/>
            <w:tcBorders>
              <w:top w:val="nil"/>
              <w:left w:val="nil"/>
              <w:bottom w:val="single" w:color="auto" w:sz="4" w:space="0"/>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02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查看《药品经营许可证》的经营范围</w:t>
            </w:r>
            <w:r>
              <w:rPr>
                <w:rFonts w:hint="eastAsia" w:ascii="Times New Roman" w:hAnsi="Times New Roman" w:eastAsia="宋体" w:cs="Times New Roman"/>
                <w:kern w:val="0"/>
                <w:sz w:val="22"/>
                <w:szCs w:val="22"/>
              </w:rPr>
              <w:t>。</w:t>
            </w:r>
          </w:p>
        </w:tc>
      </w:tr>
      <w:tr>
        <w:tblPrEx>
          <w:tblCellMar>
            <w:top w:w="0" w:type="dxa"/>
            <w:left w:w="108" w:type="dxa"/>
            <w:bottom w:w="0" w:type="dxa"/>
            <w:right w:w="108" w:type="dxa"/>
          </w:tblCellMar>
        </w:tblPrEx>
        <w:trPr>
          <w:trHeight w:val="465" w:hRule="atLeast"/>
          <w:jc w:val="center"/>
        </w:trPr>
        <w:tc>
          <w:tcPr>
            <w:tcW w:w="77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2.</w:t>
            </w:r>
            <w:r>
              <w:rPr>
                <w:rFonts w:ascii="Times New Roman" w:hAnsi="Times New Roman" w:eastAsia="宋体" w:cs="Times New Roman"/>
                <w:b/>
                <w:bCs/>
                <w:kern w:val="0"/>
                <w:sz w:val="24"/>
              </w:rPr>
              <w:t>配送服务能力（3</w:t>
            </w:r>
            <w:r>
              <w:rPr>
                <w:rFonts w:hint="eastAsia" w:ascii="Times New Roman" w:hAnsi="Times New Roman" w:eastAsia="宋体" w:cs="Times New Roman"/>
                <w:b/>
                <w:bCs/>
                <w:kern w:val="0"/>
                <w:sz w:val="24"/>
                <w:lang w:val="en-US" w:eastAsia="zh-CN"/>
              </w:rPr>
              <w:t>5</w:t>
            </w:r>
            <w:r>
              <w:rPr>
                <w:rFonts w:ascii="Times New Roman" w:hAnsi="Times New Roman" w:eastAsia="宋体" w:cs="Times New Roman"/>
                <w:b/>
                <w:bCs/>
                <w:kern w:val="0"/>
                <w:sz w:val="24"/>
              </w:rPr>
              <w:t>分）</w:t>
            </w:r>
          </w:p>
        </w:tc>
        <w:tc>
          <w:tcPr>
            <w:tcW w:w="85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2.1</w:t>
            </w:r>
            <w:r>
              <w:rPr>
                <w:rFonts w:ascii="Times New Roman" w:hAnsi="Times New Roman" w:eastAsia="宋体" w:cs="Times New Roman"/>
                <w:kern w:val="0"/>
                <w:sz w:val="22"/>
                <w:szCs w:val="22"/>
              </w:rPr>
              <w:t>仓储面积（5分）</w:t>
            </w:r>
          </w:p>
        </w:tc>
        <w:tc>
          <w:tcPr>
            <w:tcW w:w="12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仓库面积1500㎡-3000㎡（含）</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w:t>
            </w:r>
          </w:p>
        </w:tc>
        <w:tc>
          <w:tcPr>
            <w:tcW w:w="3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393" w:type="pct"/>
            <w:vMerge w:val="restart"/>
            <w:tcBorders>
              <w:top w:val="nil"/>
              <w:left w:val="single" w:color="auto" w:sz="4" w:space="0"/>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028" w:type="pct"/>
            <w:vMerge w:val="restart"/>
            <w:tcBorders>
              <w:top w:val="nil"/>
              <w:left w:val="single" w:color="auto" w:sz="4" w:space="0"/>
              <w:right w:val="single" w:color="auto" w:sz="4" w:space="0"/>
            </w:tcBorders>
            <w:shd w:val="clear" w:color="auto" w:fill="auto"/>
            <w:vAlign w:val="center"/>
          </w:tcPr>
          <w:p>
            <w:pPr>
              <w:widowControl/>
              <w:ind w:left="220" w:hanging="220" w:hangingChars="100"/>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1.证明材料包括但不限于市场监督部门公布的相关数据或产权证或有测绘资质的第三方机构出具的证明材料；</w:t>
            </w:r>
          </w:p>
          <w:p>
            <w:pPr>
              <w:widowControl/>
              <w:ind w:left="220" w:hanging="220" w:hangingChars="100"/>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w:t>
            </w:r>
            <w:r>
              <w:rPr>
                <w:rFonts w:ascii="Times New Roman" w:hAnsi="Times New Roman" w:eastAsia="宋体" w:cs="Times New Roman"/>
                <w:spacing w:val="-4"/>
                <w:kern w:val="0"/>
                <w:sz w:val="22"/>
                <w:szCs w:val="22"/>
              </w:rPr>
              <w:t>药品冷藏库不可另行租赁。</w:t>
            </w:r>
          </w:p>
        </w:tc>
      </w:tr>
      <w:tr>
        <w:tblPrEx>
          <w:tblCellMar>
            <w:top w:w="0" w:type="dxa"/>
            <w:left w:w="108" w:type="dxa"/>
            <w:bottom w:w="0" w:type="dxa"/>
            <w:right w:w="108" w:type="dxa"/>
          </w:tblCellMar>
        </w:tblPrEx>
        <w:trPr>
          <w:trHeight w:val="465" w:hRule="atLeast"/>
          <w:jc w:val="center"/>
        </w:trPr>
        <w:tc>
          <w:tcPr>
            <w:tcW w:w="77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8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2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仓库面积3000㎡-6000㎡（含）</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w:t>
            </w:r>
          </w:p>
        </w:tc>
        <w:tc>
          <w:tcPr>
            <w:tcW w:w="3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393" w:type="pct"/>
            <w:vMerge w:val="continue"/>
            <w:tcBorders>
              <w:left w:val="single" w:color="auto" w:sz="4" w:space="0"/>
              <w:right w:val="single" w:color="auto" w:sz="4" w:space="0"/>
            </w:tcBorders>
            <w:vAlign w:val="center"/>
          </w:tcPr>
          <w:p>
            <w:pPr>
              <w:widowControl/>
              <w:ind w:left="660" w:hanging="660" w:hangingChars="300"/>
              <w:jc w:val="left"/>
              <w:rPr>
                <w:rFonts w:ascii="Times New Roman" w:hAnsi="Times New Roman" w:eastAsia="宋体" w:cs="Times New Roman"/>
                <w:kern w:val="0"/>
                <w:sz w:val="22"/>
                <w:szCs w:val="22"/>
              </w:rPr>
            </w:pPr>
          </w:p>
        </w:tc>
        <w:tc>
          <w:tcPr>
            <w:tcW w:w="1028" w:type="pct"/>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90" w:hRule="atLeast"/>
          <w:jc w:val="center"/>
        </w:trPr>
        <w:tc>
          <w:tcPr>
            <w:tcW w:w="77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8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2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仓库面积6000㎡以上</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w:t>
            </w:r>
          </w:p>
        </w:tc>
        <w:tc>
          <w:tcPr>
            <w:tcW w:w="3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393" w:type="pct"/>
            <w:vMerge w:val="continue"/>
            <w:tcBorders>
              <w:left w:val="single" w:color="auto" w:sz="4" w:space="0"/>
              <w:bottom w:val="single" w:color="auto" w:sz="4" w:space="0"/>
              <w:right w:val="single" w:color="auto" w:sz="4" w:space="0"/>
            </w:tcBorders>
            <w:vAlign w:val="center"/>
          </w:tcPr>
          <w:p>
            <w:pPr>
              <w:widowControl/>
              <w:ind w:left="660" w:hanging="660" w:hangingChars="300"/>
              <w:jc w:val="left"/>
              <w:rPr>
                <w:rFonts w:ascii="Times New Roman" w:hAnsi="Times New Roman" w:eastAsia="宋体" w:cs="Times New Roman"/>
                <w:kern w:val="0"/>
                <w:sz w:val="22"/>
                <w:szCs w:val="22"/>
              </w:rPr>
            </w:pPr>
          </w:p>
        </w:tc>
        <w:tc>
          <w:tcPr>
            <w:tcW w:w="1028" w:type="pct"/>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465" w:hRule="atLeast"/>
          <w:jc w:val="center"/>
        </w:trPr>
        <w:tc>
          <w:tcPr>
            <w:tcW w:w="77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855" w:type="pct"/>
            <w:vMerge w:val="restart"/>
            <w:tcBorders>
              <w:top w:val="nil"/>
              <w:left w:val="nil"/>
              <w:right w:val="single" w:color="auto" w:sz="4" w:space="0"/>
            </w:tcBorders>
            <w:shd w:val="clear" w:color="auto" w:fill="auto"/>
            <w:vAlign w:val="center"/>
          </w:tcPr>
          <w:p>
            <w:pPr>
              <w:widowControl/>
              <w:jc w:val="left"/>
              <w:rPr>
                <w:rFonts w:hint="eastAsia" w:ascii="Times New Roman" w:hAnsi="Times New Roman" w:eastAsia="宋体" w:cs="Times New Roman"/>
                <w:kern w:val="0"/>
                <w:sz w:val="22"/>
                <w:szCs w:val="22"/>
              </w:rPr>
            </w:pPr>
            <w:r>
              <w:rPr>
                <w:rFonts w:hint="eastAsia" w:ascii="Times New Roman" w:hAnsi="Times New Roman" w:eastAsia="宋体" w:cs="Times New Roman"/>
                <w:kern w:val="0"/>
                <w:sz w:val="22"/>
                <w:szCs w:val="22"/>
              </w:rPr>
              <w:t>2.2</w:t>
            </w:r>
            <w:r>
              <w:rPr>
                <w:rFonts w:ascii="Times New Roman" w:hAnsi="Times New Roman" w:eastAsia="宋体" w:cs="Times New Roman"/>
                <w:kern w:val="0"/>
                <w:sz w:val="22"/>
                <w:szCs w:val="22"/>
              </w:rPr>
              <w:t>仓储地点（5分）</w:t>
            </w:r>
          </w:p>
        </w:tc>
        <w:tc>
          <w:tcPr>
            <w:tcW w:w="12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广西区外</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w:t>
            </w:r>
          </w:p>
        </w:tc>
        <w:tc>
          <w:tcPr>
            <w:tcW w:w="303" w:type="pct"/>
            <w:vMerge w:val="restart"/>
            <w:tcBorders>
              <w:top w:val="nil"/>
              <w:left w:val="nil"/>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p>
        </w:tc>
        <w:tc>
          <w:tcPr>
            <w:tcW w:w="393" w:type="pct"/>
            <w:vMerge w:val="restart"/>
            <w:tcBorders>
              <w:top w:val="nil"/>
              <w:left w:val="nil"/>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028" w:type="pct"/>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465" w:hRule="atLeast"/>
          <w:jc w:val="center"/>
        </w:trPr>
        <w:tc>
          <w:tcPr>
            <w:tcW w:w="77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855" w:type="pct"/>
            <w:vMerge w:val="continue"/>
            <w:tcBorders>
              <w:left w:val="nil"/>
              <w:right w:val="single" w:color="auto" w:sz="4" w:space="0"/>
            </w:tcBorders>
            <w:shd w:val="clear" w:color="auto" w:fill="auto"/>
            <w:vAlign w:val="center"/>
          </w:tcPr>
          <w:p>
            <w:pPr>
              <w:widowControl/>
              <w:jc w:val="left"/>
              <w:rPr>
                <w:rFonts w:hint="eastAsia" w:ascii="Times New Roman" w:hAnsi="Times New Roman" w:eastAsia="宋体" w:cs="Times New Roman"/>
                <w:kern w:val="0"/>
                <w:sz w:val="22"/>
                <w:szCs w:val="22"/>
              </w:rPr>
            </w:pPr>
          </w:p>
        </w:tc>
        <w:tc>
          <w:tcPr>
            <w:tcW w:w="12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广西区内</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3</w:t>
            </w:r>
          </w:p>
        </w:tc>
        <w:tc>
          <w:tcPr>
            <w:tcW w:w="303" w:type="pct"/>
            <w:vMerge w:val="continue"/>
            <w:tcBorders>
              <w:left w:val="nil"/>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p>
        </w:tc>
        <w:tc>
          <w:tcPr>
            <w:tcW w:w="393" w:type="pct"/>
            <w:vMerge w:val="continue"/>
            <w:tcBorders>
              <w:left w:val="nil"/>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028" w:type="pct"/>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465" w:hRule="atLeast"/>
          <w:jc w:val="center"/>
        </w:trPr>
        <w:tc>
          <w:tcPr>
            <w:tcW w:w="77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855" w:type="pct"/>
            <w:vMerge w:val="continue"/>
            <w:tcBorders>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2"/>
                <w:szCs w:val="22"/>
              </w:rPr>
            </w:pPr>
          </w:p>
        </w:tc>
        <w:tc>
          <w:tcPr>
            <w:tcW w:w="12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lang w:eastAsia="zh-CN"/>
              </w:rPr>
              <w:t>百色</w:t>
            </w:r>
            <w:r>
              <w:rPr>
                <w:rFonts w:ascii="Times New Roman" w:hAnsi="Times New Roman" w:eastAsia="宋体" w:cs="Times New Roman"/>
                <w:kern w:val="0"/>
                <w:sz w:val="22"/>
                <w:szCs w:val="22"/>
              </w:rPr>
              <w:t>市范围内</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5</w:t>
            </w:r>
          </w:p>
        </w:tc>
        <w:tc>
          <w:tcPr>
            <w:tcW w:w="303" w:type="pct"/>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p>
        </w:tc>
        <w:tc>
          <w:tcPr>
            <w:tcW w:w="393" w:type="pct"/>
            <w:vMerge w:val="continue"/>
            <w:tcBorders>
              <w:left w:val="nil"/>
              <w:bottom w:val="single" w:color="auto" w:sz="4" w:space="0"/>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028" w:type="pct"/>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465" w:hRule="atLeast"/>
          <w:jc w:val="center"/>
        </w:trPr>
        <w:tc>
          <w:tcPr>
            <w:tcW w:w="77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85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2.</w:t>
            </w:r>
            <w:r>
              <w:rPr>
                <w:rFonts w:hint="eastAsia" w:ascii="Times New Roman" w:hAnsi="Times New Roman" w:eastAsia="宋体" w:cs="Times New Roman"/>
                <w:kern w:val="0"/>
                <w:sz w:val="22"/>
                <w:szCs w:val="22"/>
                <w:lang w:val="en-US" w:eastAsia="zh-CN"/>
              </w:rPr>
              <w:t>3</w:t>
            </w:r>
            <w:r>
              <w:rPr>
                <w:rFonts w:ascii="Times New Roman" w:hAnsi="Times New Roman" w:eastAsia="宋体" w:cs="Times New Roman"/>
                <w:kern w:val="0"/>
                <w:sz w:val="22"/>
                <w:szCs w:val="22"/>
              </w:rPr>
              <w:t>仓储现代化水平（</w:t>
            </w:r>
            <w:r>
              <w:rPr>
                <w:rFonts w:hint="eastAsia" w:ascii="Times New Roman" w:hAnsi="Times New Roman" w:eastAsia="宋体" w:cs="Times New Roman"/>
                <w:kern w:val="0"/>
                <w:sz w:val="22"/>
                <w:szCs w:val="22"/>
                <w:lang w:val="en-US" w:eastAsia="zh-CN"/>
              </w:rPr>
              <w:t>5</w:t>
            </w:r>
            <w:r>
              <w:rPr>
                <w:rFonts w:ascii="Times New Roman" w:hAnsi="Times New Roman" w:eastAsia="宋体" w:cs="Times New Roman"/>
                <w:kern w:val="0"/>
                <w:sz w:val="22"/>
                <w:szCs w:val="22"/>
              </w:rPr>
              <w:t>分）</w:t>
            </w:r>
          </w:p>
        </w:tc>
        <w:tc>
          <w:tcPr>
            <w:tcW w:w="12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具备自动运送系统；具备电子标签自动分拣系统</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2"/>
                <w:szCs w:val="22"/>
                <w:lang w:eastAsia="zh-CN"/>
              </w:rPr>
            </w:pPr>
            <w:r>
              <w:rPr>
                <w:rFonts w:hint="eastAsia" w:ascii="Times New Roman" w:hAnsi="Times New Roman" w:eastAsia="宋体" w:cs="Times New Roman"/>
                <w:kern w:val="0"/>
                <w:sz w:val="22"/>
                <w:szCs w:val="22"/>
                <w:lang w:val="en-US" w:eastAsia="zh-CN"/>
              </w:rPr>
              <w:t>5</w:t>
            </w:r>
          </w:p>
        </w:tc>
        <w:tc>
          <w:tcPr>
            <w:tcW w:w="30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393" w:type="pct"/>
            <w:tcBorders>
              <w:top w:val="nil"/>
              <w:left w:val="nil"/>
              <w:bottom w:val="single" w:color="auto" w:sz="4" w:space="0"/>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02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查看企业所在地药监局现场检查确认证明</w:t>
            </w:r>
          </w:p>
        </w:tc>
      </w:tr>
      <w:tr>
        <w:tblPrEx>
          <w:tblCellMar>
            <w:top w:w="0" w:type="dxa"/>
            <w:left w:w="108" w:type="dxa"/>
            <w:bottom w:w="0" w:type="dxa"/>
            <w:right w:w="108" w:type="dxa"/>
          </w:tblCellMar>
        </w:tblPrEx>
        <w:trPr>
          <w:trHeight w:val="735" w:hRule="atLeast"/>
          <w:jc w:val="center"/>
        </w:trPr>
        <w:tc>
          <w:tcPr>
            <w:tcW w:w="77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85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2.</w:t>
            </w:r>
            <w:r>
              <w:rPr>
                <w:rFonts w:hint="eastAsia" w:ascii="Times New Roman" w:hAnsi="Times New Roman" w:eastAsia="宋体" w:cs="Times New Roman"/>
                <w:kern w:val="0"/>
                <w:sz w:val="22"/>
                <w:szCs w:val="22"/>
                <w:lang w:val="en-US" w:eastAsia="zh-CN"/>
              </w:rPr>
              <w:t>4</w:t>
            </w:r>
            <w:r>
              <w:rPr>
                <w:rFonts w:ascii="Times New Roman" w:hAnsi="Times New Roman" w:eastAsia="宋体" w:cs="Times New Roman"/>
                <w:kern w:val="0"/>
                <w:sz w:val="22"/>
                <w:szCs w:val="22"/>
              </w:rPr>
              <w:t>配送车辆（8分）</w:t>
            </w:r>
          </w:p>
        </w:tc>
        <w:tc>
          <w:tcPr>
            <w:tcW w:w="12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普通运输车辆（1辆运输车算2分，每增加1辆加1分，最多不超过5分）</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w:t>
            </w:r>
          </w:p>
        </w:tc>
        <w:tc>
          <w:tcPr>
            <w:tcW w:w="303"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393" w:type="pct"/>
            <w:tcBorders>
              <w:top w:val="nil"/>
              <w:left w:val="single" w:color="auto" w:sz="4" w:space="0"/>
              <w:bottom w:val="single" w:color="auto" w:sz="4" w:space="0"/>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028"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left="220" w:hanging="220" w:hangingChars="100"/>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1.需自有车辆并提供行驶证、车辆登记证；</w:t>
            </w:r>
          </w:p>
          <w:p>
            <w:pPr>
              <w:widowControl/>
              <w:ind w:left="220" w:hanging="220" w:hangingChars="100"/>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2.冷藏车提供符合国家相关法律法规的验证报告(提交验证综述即可)。</w:t>
            </w:r>
          </w:p>
        </w:tc>
      </w:tr>
      <w:tr>
        <w:tblPrEx>
          <w:tblCellMar>
            <w:top w:w="0" w:type="dxa"/>
            <w:left w:w="108" w:type="dxa"/>
            <w:bottom w:w="0" w:type="dxa"/>
            <w:right w:w="108" w:type="dxa"/>
          </w:tblCellMar>
        </w:tblPrEx>
        <w:trPr>
          <w:trHeight w:val="855" w:hRule="atLeast"/>
          <w:jc w:val="center"/>
        </w:trPr>
        <w:tc>
          <w:tcPr>
            <w:tcW w:w="77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8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248"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 w:val="22"/>
                <w:szCs w:val="22"/>
              </w:rPr>
            </w:pPr>
            <w:r>
              <w:rPr>
                <w:rFonts w:ascii="Times New Roman" w:hAnsi="Times New Roman" w:eastAsia="宋体" w:cs="Times New Roman"/>
                <w:kern w:val="0"/>
                <w:sz w:val="22"/>
                <w:szCs w:val="22"/>
              </w:rPr>
              <w:t>冷链运输车辆（1辆冷链运输车1分，运输每增加1辆加1分，最多不超过3分）</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w:t>
            </w:r>
          </w:p>
        </w:tc>
        <w:tc>
          <w:tcPr>
            <w:tcW w:w="303"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393" w:type="pct"/>
            <w:tcBorders>
              <w:top w:val="nil"/>
              <w:left w:val="single" w:color="auto" w:sz="4" w:space="0"/>
              <w:bottom w:val="single" w:color="auto" w:sz="4" w:space="0"/>
              <w:right w:val="single" w:color="auto" w:sz="4" w:space="0"/>
            </w:tcBorders>
            <w:vAlign w:val="center"/>
          </w:tcPr>
          <w:p>
            <w:pPr>
              <w:widowControl/>
              <w:ind w:left="660" w:hanging="660" w:hangingChars="300"/>
              <w:jc w:val="left"/>
              <w:rPr>
                <w:rFonts w:ascii="Times New Roman" w:hAnsi="Times New Roman" w:eastAsia="宋体" w:cs="Times New Roman"/>
                <w:kern w:val="0"/>
                <w:sz w:val="22"/>
                <w:szCs w:val="22"/>
              </w:rPr>
            </w:pPr>
          </w:p>
        </w:tc>
        <w:tc>
          <w:tcPr>
            <w:tcW w:w="102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660" w:hRule="atLeast"/>
          <w:jc w:val="center"/>
        </w:trPr>
        <w:tc>
          <w:tcPr>
            <w:tcW w:w="77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8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2.</w:t>
            </w:r>
            <w:r>
              <w:rPr>
                <w:rFonts w:hint="eastAsia" w:ascii="Times New Roman" w:hAnsi="Times New Roman" w:eastAsia="宋体" w:cs="Times New Roman"/>
                <w:kern w:val="0"/>
                <w:sz w:val="22"/>
                <w:szCs w:val="22"/>
                <w:lang w:val="en-US" w:eastAsia="zh-CN"/>
              </w:rPr>
              <w:t>5</w:t>
            </w:r>
            <w:r>
              <w:rPr>
                <w:rFonts w:ascii="Times New Roman" w:hAnsi="Times New Roman" w:eastAsia="宋体" w:cs="Times New Roman"/>
                <w:kern w:val="0"/>
                <w:sz w:val="22"/>
                <w:szCs w:val="22"/>
              </w:rPr>
              <w:t>药品管理信息化（7分）</w:t>
            </w:r>
          </w:p>
        </w:tc>
        <w:tc>
          <w:tcPr>
            <w:tcW w:w="124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实现药品购进、储存、销售、配送等全过程质量监控的信息管理系统。</w:t>
            </w:r>
          </w:p>
        </w:tc>
        <w:tc>
          <w:tcPr>
            <w:tcW w:w="3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0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相关</w:t>
            </w:r>
            <w:r>
              <w:rPr>
                <w:rFonts w:hint="eastAsia" w:ascii="Times New Roman" w:hAnsi="Times New Roman" w:eastAsia="宋体" w:cs="Times New Roman"/>
                <w:kern w:val="0"/>
                <w:sz w:val="22"/>
                <w:szCs w:val="22"/>
              </w:rPr>
              <w:t>佐证</w:t>
            </w:r>
            <w:r>
              <w:rPr>
                <w:rFonts w:ascii="Times New Roman" w:hAnsi="Times New Roman" w:eastAsia="宋体" w:cs="Times New Roman"/>
                <w:kern w:val="0"/>
                <w:sz w:val="22"/>
                <w:szCs w:val="22"/>
              </w:rPr>
              <w:t>材料</w:t>
            </w:r>
            <w:r>
              <w:rPr>
                <w:rFonts w:hint="eastAsia" w:ascii="Times New Roman" w:hAnsi="Times New Roman" w:eastAsia="宋体" w:cs="Times New Roman"/>
                <w:kern w:val="0"/>
                <w:sz w:val="22"/>
                <w:szCs w:val="22"/>
              </w:rPr>
              <w:t>（包括但不限于提供各信息系统板块界面截图）。</w:t>
            </w:r>
          </w:p>
        </w:tc>
      </w:tr>
      <w:tr>
        <w:tblPrEx>
          <w:tblCellMar>
            <w:top w:w="0" w:type="dxa"/>
            <w:left w:w="108" w:type="dxa"/>
            <w:bottom w:w="0" w:type="dxa"/>
            <w:right w:w="108" w:type="dxa"/>
          </w:tblCellMar>
        </w:tblPrEx>
        <w:trPr>
          <w:trHeight w:val="389" w:hRule="atLeast"/>
          <w:jc w:val="center"/>
        </w:trPr>
        <w:tc>
          <w:tcPr>
            <w:tcW w:w="77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8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248" w:type="pct"/>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 w:val="22"/>
                <w:szCs w:val="22"/>
              </w:rPr>
            </w:pPr>
            <w:r>
              <w:rPr>
                <w:rFonts w:ascii="Times New Roman" w:hAnsi="Times New Roman" w:eastAsia="宋体" w:cs="Times New Roman"/>
                <w:kern w:val="0"/>
                <w:sz w:val="22"/>
                <w:szCs w:val="22"/>
              </w:rPr>
              <w:t>实现发票电子化</w:t>
            </w:r>
          </w:p>
        </w:tc>
        <w:tc>
          <w:tcPr>
            <w:tcW w:w="3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393" w:type="pct"/>
            <w:tcBorders>
              <w:top w:val="single" w:color="auto" w:sz="4" w:space="0"/>
              <w:left w:val="single" w:color="auto" w:sz="4" w:space="0"/>
              <w:bottom w:val="single" w:color="auto" w:sz="4" w:space="0"/>
              <w:right w:val="single" w:color="auto" w:sz="4" w:space="0"/>
            </w:tcBorders>
            <w:vAlign w:val="center"/>
          </w:tcPr>
          <w:p>
            <w:pPr>
              <w:widowControl/>
              <w:ind w:left="660" w:hanging="660" w:hangingChars="300"/>
              <w:jc w:val="left"/>
              <w:rPr>
                <w:rFonts w:ascii="Times New Roman" w:hAnsi="Times New Roman" w:eastAsia="宋体" w:cs="Times New Roman"/>
                <w:kern w:val="0"/>
                <w:sz w:val="22"/>
                <w:szCs w:val="22"/>
              </w:rPr>
            </w:pPr>
          </w:p>
        </w:tc>
        <w:tc>
          <w:tcPr>
            <w:tcW w:w="10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480" w:hRule="atLeast"/>
          <w:jc w:val="center"/>
        </w:trPr>
        <w:tc>
          <w:tcPr>
            <w:tcW w:w="77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85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2.</w:t>
            </w:r>
            <w:r>
              <w:rPr>
                <w:rFonts w:hint="eastAsia" w:ascii="Times New Roman" w:hAnsi="Times New Roman" w:eastAsia="宋体" w:cs="Times New Roman"/>
                <w:kern w:val="0"/>
                <w:sz w:val="22"/>
                <w:szCs w:val="22"/>
                <w:lang w:val="en-US" w:eastAsia="zh-CN"/>
              </w:rPr>
              <w:t>6</w:t>
            </w:r>
            <w:r>
              <w:rPr>
                <w:rFonts w:ascii="Times New Roman" w:hAnsi="Times New Roman" w:eastAsia="宋体" w:cs="Times New Roman"/>
                <w:kern w:val="0"/>
                <w:sz w:val="22"/>
                <w:szCs w:val="22"/>
              </w:rPr>
              <w:t>配送范围（广西区内</w:t>
            </w:r>
            <w:r>
              <w:rPr>
                <w:rFonts w:hint="eastAsia" w:ascii="Times New Roman" w:hAnsi="Times New Roman" w:eastAsia="宋体" w:cs="Times New Roman"/>
                <w:kern w:val="0"/>
                <w:sz w:val="22"/>
                <w:szCs w:val="22"/>
                <w:lang w:val="en-US" w:eastAsia="zh-CN"/>
              </w:rPr>
              <w:t>三甲</w:t>
            </w:r>
            <w:r>
              <w:rPr>
                <w:rFonts w:ascii="Times New Roman" w:hAnsi="Times New Roman" w:eastAsia="宋体" w:cs="Times New Roman"/>
                <w:kern w:val="0"/>
                <w:sz w:val="22"/>
                <w:szCs w:val="22"/>
              </w:rPr>
              <w:t>医院数量）（</w:t>
            </w:r>
            <w:r>
              <w:rPr>
                <w:rFonts w:hint="eastAsia" w:ascii="Times New Roman" w:hAnsi="Times New Roman" w:eastAsia="宋体" w:cs="Times New Roman"/>
                <w:kern w:val="0"/>
                <w:sz w:val="22"/>
                <w:szCs w:val="22"/>
                <w:lang w:val="en-US" w:eastAsia="zh-CN"/>
              </w:rPr>
              <w:t>5</w:t>
            </w:r>
            <w:r>
              <w:rPr>
                <w:rFonts w:ascii="Times New Roman" w:hAnsi="Times New Roman" w:eastAsia="宋体" w:cs="Times New Roman"/>
                <w:kern w:val="0"/>
                <w:sz w:val="22"/>
                <w:szCs w:val="22"/>
              </w:rPr>
              <w:t>分）</w:t>
            </w:r>
          </w:p>
        </w:tc>
        <w:tc>
          <w:tcPr>
            <w:tcW w:w="12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1家-5家（含）</w:t>
            </w:r>
          </w:p>
        </w:tc>
        <w:tc>
          <w:tcPr>
            <w:tcW w:w="3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w:t>
            </w:r>
          </w:p>
        </w:tc>
        <w:tc>
          <w:tcPr>
            <w:tcW w:w="3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3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02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提供购销合同</w:t>
            </w:r>
            <w:r>
              <w:rPr>
                <w:rFonts w:hint="eastAsia" w:ascii="Times New Roman" w:hAnsi="Times New Roman" w:eastAsia="宋体" w:cs="Times New Roman"/>
                <w:kern w:val="0"/>
                <w:sz w:val="22"/>
                <w:szCs w:val="22"/>
              </w:rPr>
              <w:t>盖章页</w:t>
            </w:r>
            <w:r>
              <w:rPr>
                <w:rFonts w:ascii="Times New Roman" w:hAnsi="Times New Roman" w:eastAsia="宋体" w:cs="Times New Roman"/>
                <w:kern w:val="0"/>
                <w:sz w:val="22"/>
                <w:szCs w:val="22"/>
              </w:rPr>
              <w:t>复印件</w:t>
            </w:r>
            <w:r>
              <w:rPr>
                <w:rFonts w:hint="eastAsia" w:ascii="Times New Roman" w:hAnsi="Times New Roman" w:eastAsia="宋体" w:cs="Times New Roman"/>
                <w:kern w:val="0"/>
                <w:sz w:val="22"/>
                <w:szCs w:val="22"/>
                <w:lang w:val="en-US" w:eastAsia="zh-CN"/>
              </w:rPr>
              <w:t>及电子清单</w:t>
            </w:r>
            <w:r>
              <w:rPr>
                <w:rFonts w:ascii="Times New Roman" w:hAnsi="Times New Roman" w:eastAsia="宋体" w:cs="Times New Roman"/>
                <w:kern w:val="0"/>
                <w:sz w:val="22"/>
                <w:szCs w:val="22"/>
              </w:rPr>
              <w:t>。</w:t>
            </w:r>
          </w:p>
        </w:tc>
      </w:tr>
      <w:tr>
        <w:tblPrEx>
          <w:tblCellMar>
            <w:top w:w="0" w:type="dxa"/>
            <w:left w:w="108" w:type="dxa"/>
            <w:bottom w:w="0" w:type="dxa"/>
            <w:right w:w="108" w:type="dxa"/>
          </w:tblCellMar>
        </w:tblPrEx>
        <w:trPr>
          <w:trHeight w:val="480" w:hRule="atLeast"/>
          <w:jc w:val="center"/>
        </w:trPr>
        <w:tc>
          <w:tcPr>
            <w:tcW w:w="77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8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2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6家-10家（含）</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2"/>
                <w:szCs w:val="22"/>
                <w:lang w:eastAsia="zh-CN"/>
              </w:rPr>
            </w:pPr>
            <w:r>
              <w:rPr>
                <w:rFonts w:hint="eastAsia" w:ascii="Times New Roman" w:hAnsi="Times New Roman" w:eastAsia="宋体" w:cs="Times New Roman"/>
                <w:kern w:val="0"/>
                <w:sz w:val="22"/>
                <w:szCs w:val="22"/>
                <w:lang w:val="en-US" w:eastAsia="zh-CN"/>
              </w:rPr>
              <w:t>3</w:t>
            </w:r>
          </w:p>
        </w:tc>
        <w:tc>
          <w:tcPr>
            <w:tcW w:w="3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widowControl/>
              <w:ind w:left="660" w:hanging="660" w:hangingChars="300"/>
              <w:jc w:val="left"/>
              <w:rPr>
                <w:rFonts w:ascii="Times New Roman" w:hAnsi="Times New Roman" w:eastAsia="宋体" w:cs="Times New Roman"/>
                <w:kern w:val="0"/>
                <w:sz w:val="22"/>
                <w:szCs w:val="22"/>
              </w:rPr>
            </w:pPr>
          </w:p>
        </w:tc>
        <w:tc>
          <w:tcPr>
            <w:tcW w:w="102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480" w:hRule="atLeast"/>
          <w:jc w:val="center"/>
        </w:trPr>
        <w:tc>
          <w:tcPr>
            <w:tcW w:w="77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8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2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10家以上</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2"/>
                <w:szCs w:val="22"/>
                <w:lang w:eastAsia="zh-CN"/>
              </w:rPr>
            </w:pPr>
            <w:r>
              <w:rPr>
                <w:rFonts w:hint="eastAsia" w:ascii="Times New Roman" w:hAnsi="Times New Roman" w:eastAsia="宋体" w:cs="Times New Roman"/>
                <w:kern w:val="0"/>
                <w:sz w:val="22"/>
                <w:szCs w:val="22"/>
                <w:lang w:val="en-US" w:eastAsia="zh-CN"/>
              </w:rPr>
              <w:t>5</w:t>
            </w:r>
          </w:p>
        </w:tc>
        <w:tc>
          <w:tcPr>
            <w:tcW w:w="3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widowControl/>
              <w:ind w:left="660" w:hanging="660" w:hangingChars="300"/>
              <w:jc w:val="left"/>
              <w:rPr>
                <w:rFonts w:ascii="Times New Roman" w:hAnsi="Times New Roman" w:eastAsia="宋体" w:cs="Times New Roman"/>
                <w:kern w:val="0"/>
                <w:sz w:val="22"/>
                <w:szCs w:val="22"/>
              </w:rPr>
            </w:pPr>
          </w:p>
        </w:tc>
        <w:tc>
          <w:tcPr>
            <w:tcW w:w="102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960" w:hRule="atLeast"/>
          <w:jc w:val="center"/>
        </w:trPr>
        <w:tc>
          <w:tcPr>
            <w:tcW w:w="777" w:type="pct"/>
            <w:vMerge w:val="restart"/>
            <w:tcBorders>
              <w:top w:val="single" w:color="auto" w:sz="4" w:space="0"/>
              <w:left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3.</w:t>
            </w:r>
            <w:r>
              <w:rPr>
                <w:rFonts w:ascii="Times New Roman" w:hAnsi="Times New Roman" w:eastAsia="宋体" w:cs="Times New Roman"/>
                <w:b/>
                <w:bCs/>
                <w:kern w:val="0"/>
                <w:sz w:val="24"/>
              </w:rPr>
              <w:t>药品质量与企业管理规范（</w:t>
            </w:r>
            <w:r>
              <w:rPr>
                <w:rFonts w:hint="eastAsia" w:ascii="Times New Roman" w:hAnsi="Times New Roman" w:eastAsia="宋体" w:cs="Times New Roman"/>
                <w:b/>
                <w:bCs/>
                <w:kern w:val="0"/>
                <w:sz w:val="24"/>
              </w:rPr>
              <w:t>35</w:t>
            </w:r>
            <w:r>
              <w:rPr>
                <w:rFonts w:ascii="Times New Roman" w:hAnsi="Times New Roman" w:eastAsia="宋体" w:cs="Times New Roman"/>
                <w:b/>
                <w:bCs/>
                <w:kern w:val="0"/>
                <w:sz w:val="24"/>
              </w:rPr>
              <w:t>分）</w:t>
            </w:r>
          </w:p>
        </w:tc>
        <w:tc>
          <w:tcPr>
            <w:tcW w:w="85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3.</w:t>
            </w:r>
            <w:r>
              <w:rPr>
                <w:rFonts w:hint="eastAsia" w:ascii="Times New Roman" w:hAnsi="Times New Roman" w:eastAsia="宋体" w:cs="Times New Roman"/>
                <w:kern w:val="0"/>
                <w:sz w:val="22"/>
                <w:szCs w:val="22"/>
                <w:lang w:val="en-US" w:eastAsia="zh-CN"/>
              </w:rPr>
              <w:t>1</w:t>
            </w:r>
            <w:r>
              <w:rPr>
                <w:rFonts w:ascii="Times New Roman" w:hAnsi="Times New Roman" w:eastAsia="宋体" w:cs="Times New Roman"/>
                <w:kern w:val="0"/>
                <w:sz w:val="22"/>
                <w:szCs w:val="22"/>
              </w:rPr>
              <w:t>管理制度（</w:t>
            </w:r>
            <w:r>
              <w:rPr>
                <w:rFonts w:hint="eastAsia" w:ascii="Times New Roman" w:hAnsi="Times New Roman" w:eastAsia="宋体" w:cs="Times New Roman"/>
                <w:kern w:val="0"/>
                <w:sz w:val="22"/>
                <w:szCs w:val="22"/>
                <w:lang w:val="en-US" w:eastAsia="zh-CN"/>
              </w:rPr>
              <w:t>10</w:t>
            </w:r>
            <w:r>
              <w:rPr>
                <w:rFonts w:ascii="Times New Roman" w:hAnsi="Times New Roman" w:eastAsia="宋体" w:cs="Times New Roman"/>
                <w:kern w:val="0"/>
                <w:sz w:val="22"/>
                <w:szCs w:val="22"/>
              </w:rPr>
              <w:t>分）</w:t>
            </w:r>
          </w:p>
        </w:tc>
        <w:tc>
          <w:tcPr>
            <w:tcW w:w="12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管理制度完备详细，全面覆盖药品采购、收货、验收、储存、养护、销售、出库、</w:t>
            </w:r>
            <w:r>
              <w:rPr>
                <w:rFonts w:hint="eastAsia" w:ascii="Times New Roman" w:hAnsi="Times New Roman" w:eastAsia="宋体" w:cs="Times New Roman"/>
                <w:kern w:val="0"/>
                <w:sz w:val="22"/>
                <w:szCs w:val="22"/>
                <w:lang w:eastAsia="zh-CN"/>
              </w:rPr>
              <w:t>运输</w:t>
            </w:r>
            <w:r>
              <w:rPr>
                <w:rFonts w:ascii="Times New Roman" w:hAnsi="Times New Roman" w:eastAsia="宋体" w:cs="Times New Roman"/>
                <w:kern w:val="0"/>
                <w:sz w:val="22"/>
                <w:szCs w:val="22"/>
              </w:rPr>
              <w:t>等所有环节，以及GSP对于质量管理制度的相关规定。</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10</w:t>
            </w:r>
          </w:p>
        </w:tc>
        <w:tc>
          <w:tcPr>
            <w:tcW w:w="303"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393" w:type="pct"/>
            <w:tcBorders>
              <w:top w:val="nil"/>
              <w:left w:val="nil"/>
              <w:bottom w:val="single" w:color="auto" w:sz="4" w:space="0"/>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02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提供所有环节相关管理制度，</w:t>
            </w:r>
            <w:r>
              <w:rPr>
                <w:rFonts w:hint="eastAsia" w:ascii="Times New Roman" w:hAnsi="Times New Roman" w:eastAsia="宋体" w:cs="Times New Roman"/>
                <w:kern w:val="0"/>
                <w:sz w:val="22"/>
                <w:szCs w:val="22"/>
                <w:lang w:val="en-US" w:eastAsia="zh-CN"/>
              </w:rPr>
              <w:t>缺少一项</w:t>
            </w:r>
            <w:r>
              <w:rPr>
                <w:rFonts w:ascii="Times New Roman" w:hAnsi="Times New Roman" w:eastAsia="宋体" w:cs="Times New Roman"/>
                <w:kern w:val="0"/>
                <w:sz w:val="22"/>
                <w:szCs w:val="22"/>
              </w:rPr>
              <w:t>扣</w:t>
            </w:r>
            <w:r>
              <w:rPr>
                <w:rFonts w:hint="eastAsia" w:ascii="Times New Roman" w:hAnsi="Times New Roman" w:eastAsia="宋体" w:cs="Times New Roman"/>
                <w:kern w:val="0"/>
                <w:sz w:val="22"/>
                <w:szCs w:val="22"/>
                <w:lang w:val="en-US" w:eastAsia="zh-CN"/>
              </w:rPr>
              <w:t>1分</w:t>
            </w:r>
            <w:r>
              <w:rPr>
                <w:rFonts w:ascii="Times New Roman" w:hAnsi="Times New Roman" w:eastAsia="宋体" w:cs="Times New Roman"/>
                <w:kern w:val="0"/>
                <w:sz w:val="22"/>
                <w:szCs w:val="22"/>
              </w:rPr>
              <w:t>，没有的或不提供证明材料的不得分。（可提供制度目录，盖章证明）</w:t>
            </w:r>
          </w:p>
        </w:tc>
      </w:tr>
      <w:tr>
        <w:tblPrEx>
          <w:tblCellMar>
            <w:top w:w="0" w:type="dxa"/>
            <w:left w:w="108" w:type="dxa"/>
            <w:bottom w:w="0" w:type="dxa"/>
            <w:right w:w="108" w:type="dxa"/>
          </w:tblCellMar>
        </w:tblPrEx>
        <w:trPr>
          <w:trHeight w:val="960" w:hRule="atLeast"/>
          <w:jc w:val="center"/>
        </w:trPr>
        <w:tc>
          <w:tcPr>
            <w:tcW w:w="77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855" w:type="pct"/>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2"/>
                <w:szCs w:val="22"/>
                <w:lang w:eastAsia="zh-CN"/>
              </w:rPr>
            </w:pPr>
            <w:r>
              <w:rPr>
                <w:rFonts w:hint="eastAsia" w:ascii="Times New Roman" w:hAnsi="Times New Roman" w:eastAsia="宋体" w:cs="Times New Roman"/>
                <w:kern w:val="0"/>
                <w:sz w:val="22"/>
                <w:szCs w:val="22"/>
              </w:rPr>
              <w:t>3.</w:t>
            </w:r>
            <w:r>
              <w:rPr>
                <w:rFonts w:hint="eastAsia" w:ascii="Times New Roman" w:hAnsi="Times New Roman" w:eastAsia="宋体" w:cs="Times New Roman"/>
                <w:kern w:val="0"/>
                <w:sz w:val="22"/>
                <w:szCs w:val="22"/>
                <w:lang w:val="en-US" w:eastAsia="zh-CN"/>
              </w:rPr>
              <w:t>2</w:t>
            </w:r>
            <w:r>
              <w:rPr>
                <w:rFonts w:ascii="Times New Roman" w:hAnsi="Times New Roman" w:eastAsia="宋体" w:cs="Times New Roman"/>
                <w:kern w:val="0"/>
                <w:sz w:val="22"/>
                <w:szCs w:val="22"/>
              </w:rPr>
              <w:t>药学技术人员配备</w:t>
            </w:r>
          </w:p>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w:t>
            </w:r>
            <w:r>
              <w:rPr>
                <w:rFonts w:hint="eastAsia" w:ascii="Times New Roman" w:hAnsi="Times New Roman" w:eastAsia="宋体" w:cs="Times New Roman"/>
                <w:kern w:val="0"/>
                <w:sz w:val="22"/>
                <w:szCs w:val="22"/>
                <w:lang w:val="en-US" w:eastAsia="zh-CN"/>
              </w:rPr>
              <w:t>10</w:t>
            </w:r>
            <w:r>
              <w:rPr>
                <w:rFonts w:ascii="Times New Roman" w:hAnsi="Times New Roman" w:eastAsia="宋体" w:cs="Times New Roman"/>
                <w:kern w:val="0"/>
                <w:sz w:val="22"/>
                <w:szCs w:val="22"/>
              </w:rPr>
              <w:t>分）</w:t>
            </w:r>
          </w:p>
        </w:tc>
        <w:tc>
          <w:tcPr>
            <w:tcW w:w="12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具有2名执业药师，每增加1人加1分，最多不超过</w:t>
            </w:r>
            <w:r>
              <w:rPr>
                <w:rFonts w:hint="eastAsia" w:ascii="Times New Roman" w:hAnsi="Times New Roman" w:eastAsia="宋体" w:cs="Times New Roman"/>
                <w:kern w:val="0"/>
                <w:sz w:val="22"/>
                <w:szCs w:val="22"/>
                <w:lang w:val="en-US" w:eastAsia="zh-CN"/>
              </w:rPr>
              <w:t>10</w:t>
            </w:r>
            <w:r>
              <w:rPr>
                <w:rFonts w:ascii="Times New Roman" w:hAnsi="Times New Roman" w:eastAsia="宋体" w:cs="Times New Roman"/>
                <w:kern w:val="0"/>
                <w:sz w:val="22"/>
                <w:szCs w:val="22"/>
              </w:rPr>
              <w:t>分。</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10</w:t>
            </w:r>
          </w:p>
        </w:tc>
        <w:tc>
          <w:tcPr>
            <w:tcW w:w="303"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393" w:type="pct"/>
            <w:tcBorders>
              <w:top w:val="nil"/>
              <w:left w:val="nil"/>
              <w:bottom w:val="single" w:color="auto" w:sz="4" w:space="0"/>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02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以药监局颁发的在有效期内的执业药师注册证、参保证明作为依据。</w:t>
            </w:r>
          </w:p>
        </w:tc>
      </w:tr>
      <w:tr>
        <w:tblPrEx>
          <w:tblCellMar>
            <w:top w:w="0" w:type="dxa"/>
            <w:left w:w="108" w:type="dxa"/>
            <w:bottom w:w="0" w:type="dxa"/>
            <w:right w:w="108" w:type="dxa"/>
          </w:tblCellMar>
        </w:tblPrEx>
        <w:trPr>
          <w:trHeight w:val="960" w:hRule="atLeast"/>
          <w:jc w:val="center"/>
        </w:trPr>
        <w:tc>
          <w:tcPr>
            <w:tcW w:w="77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85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3.</w:t>
            </w:r>
            <w:r>
              <w:rPr>
                <w:rFonts w:hint="eastAsia" w:ascii="Times New Roman" w:hAnsi="Times New Roman" w:eastAsia="宋体" w:cs="Times New Roman"/>
                <w:kern w:val="0"/>
                <w:sz w:val="22"/>
                <w:szCs w:val="22"/>
                <w:lang w:val="en-US" w:eastAsia="zh-CN"/>
              </w:rPr>
              <w:t>3</w:t>
            </w:r>
            <w:r>
              <w:rPr>
                <w:rFonts w:ascii="Times New Roman" w:hAnsi="Times New Roman" w:eastAsia="宋体" w:cs="Times New Roman"/>
                <w:kern w:val="0"/>
                <w:sz w:val="22"/>
                <w:szCs w:val="22"/>
              </w:rPr>
              <w:t>应急保障能力（</w:t>
            </w:r>
            <w:r>
              <w:rPr>
                <w:rFonts w:hint="eastAsia" w:ascii="Times New Roman" w:hAnsi="Times New Roman" w:eastAsia="宋体" w:cs="Times New Roman"/>
                <w:kern w:val="0"/>
                <w:sz w:val="22"/>
                <w:szCs w:val="22"/>
              </w:rPr>
              <w:t>1</w:t>
            </w:r>
            <w:r>
              <w:rPr>
                <w:rFonts w:hint="eastAsia" w:ascii="Times New Roman" w:hAnsi="Times New Roman" w:eastAsia="宋体" w:cs="Times New Roman"/>
                <w:kern w:val="0"/>
                <w:sz w:val="22"/>
                <w:szCs w:val="22"/>
                <w:lang w:val="en-US" w:eastAsia="zh-CN"/>
              </w:rPr>
              <w:t>5</w:t>
            </w:r>
            <w:r>
              <w:rPr>
                <w:rFonts w:ascii="Times New Roman" w:hAnsi="Times New Roman" w:eastAsia="宋体" w:cs="Times New Roman"/>
                <w:kern w:val="0"/>
                <w:sz w:val="22"/>
                <w:szCs w:val="22"/>
              </w:rPr>
              <w:t>分）</w:t>
            </w:r>
          </w:p>
        </w:tc>
        <w:tc>
          <w:tcPr>
            <w:tcW w:w="1248"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具有完善可行的出库、运输、信息、安全、冷链等应急保障预案。每少一项扣除2分，无应急预案本项不得分。</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2"/>
                <w:szCs w:val="22"/>
                <w:lang w:eastAsia="zh-CN"/>
              </w:rPr>
            </w:pPr>
            <w:r>
              <w:rPr>
                <w:rFonts w:hint="eastAsia" w:ascii="Times New Roman" w:hAnsi="Times New Roman" w:eastAsia="宋体" w:cs="Times New Roman"/>
                <w:kern w:val="0"/>
                <w:sz w:val="22"/>
                <w:szCs w:val="22"/>
              </w:rPr>
              <w:t>1</w:t>
            </w:r>
            <w:r>
              <w:rPr>
                <w:rFonts w:hint="eastAsia" w:ascii="Times New Roman" w:hAnsi="Times New Roman" w:eastAsia="宋体" w:cs="Times New Roman"/>
                <w:kern w:val="0"/>
                <w:sz w:val="22"/>
                <w:szCs w:val="22"/>
                <w:lang w:val="en-US" w:eastAsia="zh-CN"/>
              </w:rPr>
              <w:t>5</w:t>
            </w:r>
          </w:p>
        </w:tc>
        <w:tc>
          <w:tcPr>
            <w:tcW w:w="303"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393" w:type="pct"/>
            <w:tcBorders>
              <w:top w:val="nil"/>
              <w:left w:val="nil"/>
              <w:bottom w:val="single" w:color="auto" w:sz="4" w:space="0"/>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02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提供相关应急预案</w:t>
            </w:r>
            <w:r>
              <w:rPr>
                <w:rFonts w:hint="eastAsia" w:ascii="Times New Roman" w:hAnsi="Times New Roman" w:eastAsia="宋体" w:cs="Times New Roman"/>
                <w:kern w:val="0"/>
                <w:sz w:val="22"/>
                <w:szCs w:val="22"/>
              </w:rPr>
              <w:t>。</w:t>
            </w:r>
          </w:p>
        </w:tc>
      </w:tr>
      <w:tr>
        <w:tblPrEx>
          <w:tblCellMar>
            <w:top w:w="0" w:type="dxa"/>
            <w:left w:w="108" w:type="dxa"/>
            <w:bottom w:w="0" w:type="dxa"/>
            <w:right w:w="108" w:type="dxa"/>
          </w:tblCellMar>
        </w:tblPrEx>
        <w:trPr>
          <w:trHeight w:val="960"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4.</w:t>
            </w:r>
            <w:r>
              <w:rPr>
                <w:rFonts w:ascii="Times New Roman" w:hAnsi="Times New Roman" w:eastAsia="宋体" w:cs="Times New Roman"/>
                <w:b/>
                <w:bCs/>
                <w:kern w:val="0"/>
                <w:sz w:val="24"/>
              </w:rPr>
              <w:t>企业</w:t>
            </w:r>
            <w:r>
              <w:rPr>
                <w:rFonts w:hint="eastAsia" w:ascii="Times New Roman" w:hAnsi="Times New Roman" w:eastAsia="宋体" w:cs="Times New Roman"/>
                <w:b/>
                <w:bCs/>
                <w:kern w:val="0"/>
                <w:sz w:val="24"/>
                <w:lang w:val="en-US" w:eastAsia="zh-CN"/>
              </w:rPr>
              <w:t>信誉</w:t>
            </w:r>
            <w:r>
              <w:rPr>
                <w:rFonts w:ascii="Times New Roman" w:hAnsi="Times New Roman" w:eastAsia="宋体" w:cs="Times New Roman"/>
                <w:b/>
                <w:bCs/>
                <w:kern w:val="0"/>
                <w:sz w:val="24"/>
              </w:rPr>
              <w:t>（</w:t>
            </w:r>
            <w:r>
              <w:rPr>
                <w:rFonts w:hint="eastAsia" w:ascii="Times New Roman" w:hAnsi="Times New Roman" w:eastAsia="宋体" w:cs="Times New Roman"/>
                <w:b/>
                <w:bCs/>
                <w:kern w:val="0"/>
                <w:sz w:val="24"/>
                <w:lang w:val="en-US" w:eastAsia="zh-CN"/>
              </w:rPr>
              <w:t>5</w:t>
            </w:r>
            <w:r>
              <w:rPr>
                <w:rFonts w:ascii="Times New Roman" w:hAnsi="Times New Roman" w:eastAsia="宋体" w:cs="Times New Roman"/>
                <w:b/>
                <w:bCs/>
                <w:kern w:val="0"/>
                <w:sz w:val="24"/>
              </w:rPr>
              <w:t>分）</w:t>
            </w:r>
          </w:p>
        </w:tc>
        <w:tc>
          <w:tcPr>
            <w:tcW w:w="85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4.</w:t>
            </w:r>
            <w:r>
              <w:rPr>
                <w:rFonts w:hint="eastAsia" w:ascii="Times New Roman" w:hAnsi="Times New Roman" w:eastAsia="宋体" w:cs="Times New Roman"/>
                <w:kern w:val="0"/>
                <w:sz w:val="22"/>
                <w:szCs w:val="22"/>
                <w:lang w:val="en-US" w:eastAsia="zh-CN"/>
              </w:rPr>
              <w:t>1信用评价</w:t>
            </w:r>
            <w:r>
              <w:rPr>
                <w:rFonts w:ascii="Times New Roman" w:hAnsi="Times New Roman" w:eastAsia="宋体" w:cs="Times New Roman"/>
                <w:kern w:val="0"/>
                <w:sz w:val="22"/>
                <w:szCs w:val="22"/>
              </w:rPr>
              <w:t>（</w:t>
            </w:r>
            <w:r>
              <w:rPr>
                <w:rFonts w:hint="eastAsia" w:ascii="Times New Roman" w:hAnsi="Times New Roman" w:eastAsia="宋体" w:cs="Times New Roman"/>
                <w:kern w:val="0"/>
                <w:sz w:val="22"/>
                <w:szCs w:val="22"/>
                <w:lang w:val="en-US" w:eastAsia="zh-CN"/>
              </w:rPr>
              <w:t>5</w:t>
            </w:r>
            <w:r>
              <w:rPr>
                <w:rFonts w:ascii="Times New Roman" w:hAnsi="Times New Roman" w:eastAsia="宋体" w:cs="Times New Roman"/>
                <w:kern w:val="0"/>
                <w:sz w:val="22"/>
                <w:szCs w:val="22"/>
              </w:rPr>
              <w:t>分）</w:t>
            </w:r>
          </w:p>
        </w:tc>
        <w:tc>
          <w:tcPr>
            <w:tcW w:w="1248" w:type="pct"/>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 w:val="22"/>
                <w:szCs w:val="22"/>
                <w:lang w:eastAsia="zh-CN"/>
              </w:rPr>
            </w:pPr>
            <w:r>
              <w:rPr>
                <w:rFonts w:ascii="Times New Roman" w:hAnsi="Times New Roman" w:eastAsia="宋体" w:cs="Times New Roman"/>
                <w:kern w:val="0"/>
                <w:sz w:val="22"/>
                <w:szCs w:val="22"/>
              </w:rPr>
              <w:t>按章纳税（纳税信用评价等级）</w:t>
            </w:r>
          </w:p>
          <w:p>
            <w:pPr>
              <w:widowControl/>
              <w:rPr>
                <w:rFonts w:ascii="Times New Roman" w:hAnsi="Times New Roman" w:eastAsia="宋体" w:cs="Times New Roman"/>
                <w:kern w:val="0"/>
                <w:sz w:val="22"/>
                <w:szCs w:val="22"/>
              </w:rPr>
            </w:pPr>
            <w:r>
              <w:rPr>
                <w:rFonts w:ascii="Times New Roman" w:hAnsi="Times New Roman" w:eastAsia="宋体" w:cs="Times New Roman"/>
                <w:kern w:val="0"/>
                <w:sz w:val="22"/>
                <w:szCs w:val="22"/>
              </w:rPr>
              <w:t>按A、B、M（新上市）、C、D等级依次评分。</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5</w:t>
            </w:r>
          </w:p>
        </w:tc>
        <w:tc>
          <w:tcPr>
            <w:tcW w:w="303"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393" w:type="pct"/>
            <w:tcBorders>
              <w:top w:val="nil"/>
              <w:left w:val="nil"/>
              <w:bottom w:val="single" w:color="auto" w:sz="4" w:space="0"/>
              <w:right w:val="single" w:color="auto" w:sz="4" w:space="0"/>
            </w:tcBorders>
            <w:shd w:val="clear" w:color="auto" w:fill="auto"/>
            <w:vAlign w:val="center"/>
          </w:tcPr>
          <w:p>
            <w:pPr>
              <w:widowControl/>
              <w:ind w:left="660" w:leftChars="0" w:hanging="660" w:hangingChars="300"/>
              <w:jc w:val="left"/>
              <w:rPr>
                <w:rFonts w:ascii="Times New Roman" w:hAnsi="Times New Roman" w:eastAsia="宋体" w:cs="Times New Roman"/>
                <w:kern w:val="0"/>
                <w:sz w:val="22"/>
                <w:szCs w:val="22"/>
              </w:rPr>
            </w:pPr>
          </w:p>
        </w:tc>
        <w:tc>
          <w:tcPr>
            <w:tcW w:w="102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出具上年度纳税信用评价信息（复印件加盖公章）</w:t>
            </w:r>
            <w:r>
              <w:rPr>
                <w:rFonts w:hint="eastAsia" w:ascii="Times New Roman" w:hAnsi="Times New Roman" w:eastAsia="宋体" w:cs="Times New Roman"/>
                <w:kern w:val="0"/>
                <w:sz w:val="22"/>
                <w:szCs w:val="22"/>
              </w:rPr>
              <w:t>。</w:t>
            </w:r>
          </w:p>
        </w:tc>
      </w:tr>
      <w:tr>
        <w:tblPrEx>
          <w:tblCellMar>
            <w:top w:w="0" w:type="dxa"/>
            <w:left w:w="108" w:type="dxa"/>
            <w:bottom w:w="0" w:type="dxa"/>
            <w:right w:w="108" w:type="dxa"/>
          </w:tblCellMar>
        </w:tblPrEx>
        <w:trPr>
          <w:trHeight w:val="523" w:hRule="atLeast"/>
          <w:jc w:val="center"/>
        </w:trPr>
        <w:tc>
          <w:tcPr>
            <w:tcW w:w="327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4"/>
              </w:rPr>
            </w:pPr>
            <w:r>
              <w:rPr>
                <w:rFonts w:ascii="Times New Roman" w:hAnsi="Times New Roman" w:eastAsia="宋体" w:cs="Times New Roman"/>
                <w:b/>
                <w:bCs/>
                <w:kern w:val="0"/>
                <w:sz w:val="24"/>
              </w:rPr>
              <w:t>合计得分</w:t>
            </w:r>
          </w:p>
        </w:tc>
        <w:tc>
          <w:tcPr>
            <w:tcW w:w="69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rPr>
            </w:pPr>
          </w:p>
        </w:tc>
        <w:tc>
          <w:tcPr>
            <w:tcW w:w="102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rPr>
            </w:pPr>
            <w:r>
              <w:rPr>
                <w:rFonts w:ascii="Times New Roman" w:hAnsi="Times New Roman" w:eastAsia="宋体" w:cs="Times New Roman"/>
                <w:b/>
                <w:bCs/>
                <w:kern w:val="0"/>
                <w:sz w:val="24"/>
              </w:rPr>
              <w:t>　</w:t>
            </w:r>
          </w:p>
        </w:tc>
      </w:tr>
      <w:tr>
        <w:tblPrEx>
          <w:tblCellMar>
            <w:top w:w="0" w:type="dxa"/>
            <w:left w:w="108" w:type="dxa"/>
            <w:bottom w:w="0" w:type="dxa"/>
            <w:right w:w="108" w:type="dxa"/>
          </w:tblCellMar>
        </w:tblPrEx>
        <w:trPr>
          <w:trHeight w:val="748" w:hRule="atLeast"/>
          <w:jc w:val="center"/>
        </w:trPr>
        <w:tc>
          <w:tcPr>
            <w:tcW w:w="5000" w:type="pct"/>
            <w:gridSpan w:val="7"/>
            <w:tcBorders>
              <w:top w:val="nil"/>
              <w:left w:val="nil"/>
              <w:bottom w:val="nil"/>
              <w:right w:val="nil"/>
            </w:tcBorders>
            <w:shd w:val="clear" w:color="auto" w:fill="auto"/>
            <w:vAlign w:val="center"/>
          </w:tcPr>
          <w:p>
            <w:pPr>
              <w:widowControl/>
              <w:ind w:left="660" w:hanging="660" w:hangingChars="300"/>
              <w:jc w:val="left"/>
              <w:rPr>
                <w:rFonts w:hint="eastAsia" w:ascii="Times New Roman" w:hAnsi="Times New Roman" w:eastAsia="宋体" w:cs="Times New Roman"/>
                <w:kern w:val="0"/>
                <w:sz w:val="22"/>
                <w:szCs w:val="22"/>
                <w:lang w:eastAsia="zh-CN"/>
              </w:rPr>
            </w:pPr>
            <w:r>
              <w:rPr>
                <w:rFonts w:ascii="Times New Roman" w:hAnsi="Times New Roman" w:eastAsia="宋体" w:cs="Times New Roman"/>
                <w:kern w:val="0"/>
                <w:sz w:val="22"/>
                <w:szCs w:val="22"/>
              </w:rPr>
              <w:t>说明：1.申报</w:t>
            </w:r>
            <w:r>
              <w:rPr>
                <w:rFonts w:hint="eastAsia" w:ascii="Times New Roman" w:hAnsi="Times New Roman" w:eastAsia="宋体" w:cs="Times New Roman"/>
                <w:kern w:val="0"/>
                <w:sz w:val="22"/>
                <w:szCs w:val="22"/>
                <w:lang w:eastAsia="zh-CN"/>
              </w:rPr>
              <w:t>企业提</w:t>
            </w:r>
            <w:r>
              <w:rPr>
                <w:rFonts w:ascii="Times New Roman" w:hAnsi="Times New Roman" w:eastAsia="宋体" w:cs="Times New Roman"/>
                <w:kern w:val="0"/>
                <w:sz w:val="22"/>
                <w:szCs w:val="22"/>
              </w:rPr>
              <w:t>供的证明材料复印件，每份应加盖企业公章。</w:t>
            </w:r>
          </w:p>
          <w:p>
            <w:pPr>
              <w:widowControl/>
              <w:ind w:left="660" w:hanging="660" w:hangingChars="300"/>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2.本标准涉及的数据以申报企业本身数据为准。</w:t>
            </w:r>
          </w:p>
        </w:tc>
      </w:tr>
    </w:tbl>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Yjc5OGFiNzU3YTlmOGJkY2I3Mzg5ZWFjOTA3NGYifQ=="/>
  </w:docVars>
  <w:rsids>
    <w:rsidRoot w:val="00000000"/>
    <w:rsid w:val="06AB6529"/>
    <w:rsid w:val="09175B3E"/>
    <w:rsid w:val="1B8F647D"/>
    <w:rsid w:val="51CF6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2024-10-28T09:53:00Z</dcterms:created>
  <dc:creator>Administrator</dc:creator>
  <cp:lastModifiedBy>Administrator</cp:lastModifiedBy>
  <cp:lastPrinted>2024-12-17T00:41:22Z</cp:lastPrinted>
  <dcterms:modified xsi:type="dcterms:W3CDTF">2024-12-17T00:41:25Z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10F7ACDA737A462C897C1B83AA4F93A8</vt:lpwstr>
  </property>
</Properties>
</file>