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eastAsia="zh-CN"/>
        </w:rPr>
        <w:t>附件</w:t>
      </w:r>
      <w:r>
        <w:rPr>
          <w:rFonts w:hint="eastAsia" w:ascii="黑体" w:hAnsi="黑体" w:eastAsia="黑体" w:cs="黑体"/>
          <w:bCs/>
          <w:color w:val="000000"/>
          <w:kern w:val="0"/>
          <w:sz w:val="32"/>
          <w:szCs w:val="32"/>
          <w:lang w:val="en-US" w:eastAsia="zh-CN"/>
        </w:rPr>
        <w:t>2</w:t>
      </w:r>
    </w:p>
    <w:p>
      <w:pPr>
        <w:pStyle w:val="2"/>
        <w:ind w:left="0" w:leftChars="0" w:firstLine="1600" w:firstLineChars="500"/>
        <w:jc w:val="both"/>
        <w:rPr>
          <w:vertAlign w:val="baseline"/>
        </w:rPr>
      </w:pPr>
      <w:r>
        <w:rPr>
          <w:rFonts w:hint="eastAsia" w:ascii="黑体" w:hAnsi="黑体" w:eastAsia="黑体" w:cs="黑体"/>
          <w:bCs/>
          <w:color w:val="000000"/>
          <w:kern w:val="0"/>
          <w:sz w:val="32"/>
          <w:szCs w:val="32"/>
          <w:lang w:val="en-US" w:eastAsia="zh-CN"/>
        </w:rPr>
        <w:t>医用耗材、检验试剂及消毒类</w:t>
      </w:r>
      <w:bookmarkStart w:id="0" w:name="_GoBack"/>
      <w:bookmarkEnd w:id="0"/>
      <w:r>
        <w:rPr>
          <w:rFonts w:hint="eastAsia" w:ascii="黑体" w:hAnsi="黑体" w:eastAsia="黑体" w:cs="黑体"/>
          <w:bCs/>
          <w:color w:val="000000"/>
          <w:kern w:val="0"/>
          <w:sz w:val="32"/>
          <w:szCs w:val="32"/>
          <w:lang w:val="en-US" w:eastAsia="zh-CN"/>
        </w:rPr>
        <w:t>配送企业遴选评分表</w:t>
      </w:r>
    </w:p>
    <w:tbl>
      <w:tblPr>
        <w:tblStyle w:val="4"/>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64"/>
        <w:gridCol w:w="5864"/>
        <w:gridCol w:w="709"/>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4" w:type="dxa"/>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序号</w:t>
            </w:r>
          </w:p>
        </w:tc>
        <w:tc>
          <w:tcPr>
            <w:tcW w:w="10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评分项</w:t>
            </w:r>
          </w:p>
        </w:tc>
        <w:tc>
          <w:tcPr>
            <w:tcW w:w="5864" w:type="dxa"/>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评审内容及评分标准</w:t>
            </w:r>
          </w:p>
        </w:tc>
        <w:tc>
          <w:tcPr>
            <w:tcW w:w="709" w:type="dxa"/>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分值</w:t>
            </w:r>
          </w:p>
        </w:tc>
        <w:tc>
          <w:tcPr>
            <w:tcW w:w="1157" w:type="dxa"/>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6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w:t>
            </w:r>
          </w:p>
        </w:tc>
        <w:tc>
          <w:tcPr>
            <w:tcW w:w="10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价格得分</w:t>
            </w:r>
          </w:p>
        </w:tc>
        <w:tc>
          <w:tcPr>
            <w:tcW w:w="5864" w:type="dxa"/>
          </w:tcPr>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价格分应当采用低价优先法计算，即满足招标文件</w:t>
            </w: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要求且投标价格最低的投标报价为评标基准价，其价格分为满分。</w:t>
            </w:r>
          </w:p>
          <w:p>
            <w:pPr>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其他投标人的价格分统一按照下列公式计算：投标报价得分=最低价/投标报价*价格分值（满分30分）  </w:t>
            </w:r>
          </w:p>
        </w:tc>
        <w:tc>
          <w:tcPr>
            <w:tcW w:w="709"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30</w:t>
            </w:r>
          </w:p>
        </w:tc>
        <w:tc>
          <w:tcPr>
            <w:tcW w:w="1157" w:type="dxa"/>
          </w:tcPr>
          <w:p>
            <w:pPr>
              <w:jc w:val="center"/>
              <w:rPr>
                <w:rFonts w:hint="eastAsia" w:asciiTheme="minorEastAsia" w:hAnsiTheme="minorEastAsia" w:eastAsiaTheme="minorEastAsia" w:cstheme="minor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w:t>
            </w:r>
          </w:p>
        </w:tc>
        <w:tc>
          <w:tcPr>
            <w:tcW w:w="1064" w:type="dxa"/>
          </w:tcPr>
          <w:p>
            <w:pPr>
              <w:jc w:val="left"/>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rPr>
              <w:t>企业资质（20分）</w:t>
            </w:r>
          </w:p>
        </w:tc>
        <w:tc>
          <w:tcPr>
            <w:tcW w:w="5864" w:type="dxa"/>
          </w:tcPr>
          <w:p>
            <w:pPr>
              <w:numPr>
                <w:ilvl w:val="0"/>
                <w:numId w:val="1"/>
              </w:num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提供《经营许可证》得5分。</w:t>
            </w:r>
          </w:p>
          <w:p>
            <w:pPr>
              <w:pStyle w:val="2"/>
              <w:widowControl w:val="0"/>
              <w:numPr>
                <w:ilvl w:val="0"/>
                <w:numId w:val="1"/>
              </w:numPr>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提供《营业执照》得5分</w:t>
            </w:r>
          </w:p>
          <w:p>
            <w:pPr>
              <w:pStyle w:val="2"/>
              <w:widowControl w:val="0"/>
              <w:numPr>
                <w:ilvl w:val="0"/>
                <w:numId w:val="0"/>
              </w:numPr>
              <w:kinsoku w:val="0"/>
              <w:autoSpaceDE w:val="0"/>
              <w:autoSpaceDN w:val="0"/>
              <w:adjustRightInd w:val="0"/>
              <w:snapToGrid w:val="0"/>
              <w:jc w:val="both"/>
              <w:textAlignment w:val="baseline"/>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3、取得“广西壮族自治区医疗机构医用耗材及检验试剂集中采购平台”的配送资质，得10分</w:t>
            </w:r>
          </w:p>
        </w:tc>
        <w:tc>
          <w:tcPr>
            <w:tcW w:w="709"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w:t>
            </w:r>
          </w:p>
        </w:tc>
        <w:tc>
          <w:tcPr>
            <w:tcW w:w="1157"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6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w:t>
            </w:r>
          </w:p>
        </w:tc>
        <w:tc>
          <w:tcPr>
            <w:tcW w:w="1064" w:type="dxa"/>
          </w:tcPr>
          <w:p>
            <w:pP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仓储及配送能力（5分）</w:t>
            </w:r>
          </w:p>
        </w:tc>
        <w:tc>
          <w:tcPr>
            <w:tcW w:w="5864" w:type="dxa"/>
          </w:tcPr>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仓库面积≧500平方米的得3分；150平方米≦仓库面积﹤500平方米得2分；仓库面积﹤150平方米得1分。（须提供仓库平面图或有面积说明的场地租赁合同复印件）</w:t>
            </w:r>
          </w:p>
          <w:p>
            <w:pPr>
              <w:pStyle w:val="2"/>
              <w:widowControl w:val="0"/>
              <w:numPr>
                <w:ilvl w:val="0"/>
                <w:numId w:val="0"/>
              </w:numPr>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2、供应商专用运输车辆或冷藏车辆1辆得1分，满分2分（须注册在本公司名下，以车辆行驶证复印件为准）。</w:t>
            </w:r>
          </w:p>
        </w:tc>
        <w:tc>
          <w:tcPr>
            <w:tcW w:w="709"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157"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6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w:t>
            </w:r>
          </w:p>
        </w:tc>
        <w:tc>
          <w:tcPr>
            <w:tcW w:w="1064" w:type="dxa"/>
          </w:tcPr>
          <w:p>
            <w:pP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sz w:val="21"/>
                <w:szCs w:val="21"/>
                <w:vertAlign w:val="baseline"/>
                <w:lang w:eastAsia="zh-CN"/>
              </w:rPr>
              <w:t>服务承诺（20分）</w:t>
            </w:r>
          </w:p>
        </w:tc>
        <w:tc>
          <w:tcPr>
            <w:tcW w:w="5864" w:type="dxa"/>
          </w:tcPr>
          <w:p>
            <w:pPr>
              <w:numPr>
                <w:ilvl w:val="0"/>
                <w:numId w:val="3"/>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供应商提供的应急预案和措施:根据方案针对性、预见性以及是否能很好的解决问题、能保障医院紧急供应、能保障医院紧急供应给 0-10分，未提供应急预案不得分；</w:t>
            </w:r>
          </w:p>
          <w:p>
            <w:pPr>
              <w:pStyle w:val="2"/>
              <w:widowControl w:val="0"/>
              <w:numPr>
                <w:ilvl w:val="0"/>
                <w:numId w:val="3"/>
              </w:numPr>
              <w:ind w:left="0" w:leftChars="0" w:firstLine="0" w:firstLineChars="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承诺积极响应医院的合理要求，能对近效、滞销耗材进行退换货服务（以承诺书为准）。得5分</w:t>
            </w:r>
          </w:p>
          <w:p>
            <w:pPr>
              <w:pStyle w:val="2"/>
              <w:widowControl w:val="0"/>
              <w:numPr>
                <w:ilvl w:val="0"/>
                <w:numId w:val="3"/>
              </w:numPr>
              <w:ind w:left="0" w:leftChars="0" w:firstLine="0" w:firstLineChars="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承诺积极处理临床科室投诉的，得5分</w:t>
            </w:r>
          </w:p>
        </w:tc>
        <w:tc>
          <w:tcPr>
            <w:tcW w:w="709"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20</w:t>
            </w:r>
          </w:p>
        </w:tc>
        <w:tc>
          <w:tcPr>
            <w:tcW w:w="1157"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trPr>
        <w:tc>
          <w:tcPr>
            <w:tcW w:w="6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w:t>
            </w:r>
          </w:p>
        </w:tc>
        <w:tc>
          <w:tcPr>
            <w:tcW w:w="1064" w:type="dxa"/>
          </w:tcPr>
          <w:p>
            <w:pP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综合实力（15分）</w:t>
            </w:r>
          </w:p>
        </w:tc>
        <w:tc>
          <w:tcPr>
            <w:tcW w:w="5864" w:type="dxa"/>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2023年营业收入：20000万以上得10分；5000万及以上20000万以下得8分；500万及以上5000万以下得6分；100万及以上500万以下得4分；50万元以上100万以下得2分；50万元以下得1分（以2023年公司财务报表为准）；</w:t>
            </w:r>
          </w:p>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2、与二级及以上医院合作情况。提供合同复印件，以合作医院数量最多机构为满分，其他得分计算公式为:[得分=(合作数量/最多合作数量)*5]。（满分5分）</w:t>
            </w:r>
          </w:p>
        </w:tc>
        <w:tc>
          <w:tcPr>
            <w:tcW w:w="709"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w:t>
            </w:r>
          </w:p>
        </w:tc>
        <w:tc>
          <w:tcPr>
            <w:tcW w:w="1157"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664"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w:t>
            </w:r>
          </w:p>
        </w:tc>
        <w:tc>
          <w:tcPr>
            <w:tcW w:w="1064" w:type="dxa"/>
          </w:tcPr>
          <w:p>
            <w:pP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投标人信誉（10分）</w:t>
            </w:r>
          </w:p>
        </w:tc>
        <w:tc>
          <w:tcPr>
            <w:tcW w:w="5864" w:type="dxa"/>
          </w:tcPr>
          <w:p>
            <w:pPr>
              <w:pStyle w:val="2"/>
              <w:widowControl w:val="0"/>
              <w:ind w:left="0" w:leftChars="0" w:firstLine="0" w:firstLineChars="0"/>
              <w:jc w:val="both"/>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投标人在参加本次政府采购活动前三年内(以投标截止时间为准),如未受到行政处罚，得10分,处罚一起不得分。投标单位提供在“中国政府采购网“或”信用中国网“网站上未被列入失信被执行人 重大税收违法案件当事人名单以及政府采购严重违法失信行为记录名单的网页打印件(网页打印作自询价公告发布之日起至首次提交询价文件截止时间内)并加盖公章为证明材料，不提供证明材料不得分。</w:t>
            </w:r>
          </w:p>
        </w:tc>
        <w:tc>
          <w:tcPr>
            <w:tcW w:w="709" w:type="dxa"/>
          </w:tcPr>
          <w:p>
            <w:pPr>
              <w:jc w:val="center"/>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w:t>
            </w:r>
          </w:p>
        </w:tc>
        <w:tc>
          <w:tcPr>
            <w:tcW w:w="1157" w:type="dxa"/>
          </w:tcPr>
          <w:p>
            <w:pPr>
              <w:rPr>
                <w:rFonts w:hint="eastAsia" w:asciiTheme="minorEastAsia" w:hAnsiTheme="minorEastAsia" w:eastAsiaTheme="minorEastAsia" w:cstheme="minorEastAsia"/>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301" w:type="dxa"/>
            <w:gridSpan w:val="4"/>
          </w:tcPr>
          <w:p>
            <w:pPr>
              <w:jc w:val="center"/>
              <w:rPr>
                <w:rFonts w:hint="eastAsia" w:asciiTheme="minorEastAsia" w:hAnsiTheme="minorEastAsia" w:eastAsiaTheme="minorEastAsia" w:cstheme="minorEastAsia"/>
                <w:sz w:val="21"/>
                <w:szCs w:val="21"/>
                <w:vertAlign w:val="baseline"/>
                <w:lang w:eastAsia="zh-CN"/>
              </w:rPr>
            </w:pPr>
            <w:r>
              <w:rPr>
                <w:rFonts w:hint="eastAsia" w:asciiTheme="minorEastAsia" w:hAnsiTheme="minorEastAsia" w:eastAsiaTheme="minorEastAsia" w:cstheme="minorEastAsia"/>
                <w:sz w:val="21"/>
                <w:szCs w:val="21"/>
                <w:vertAlign w:val="baseline"/>
                <w:lang w:eastAsia="zh-CN"/>
              </w:rPr>
              <w:t>合计得分</w:t>
            </w:r>
          </w:p>
        </w:tc>
        <w:tc>
          <w:tcPr>
            <w:tcW w:w="1157" w:type="dxa"/>
          </w:tcPr>
          <w:p>
            <w:pPr>
              <w:rPr>
                <w:rFonts w:hint="eastAsia" w:asciiTheme="minorEastAsia" w:hAnsiTheme="minorEastAsia" w:eastAsiaTheme="minorEastAsia" w:cstheme="minorEastAsia"/>
                <w:sz w:val="21"/>
                <w:szCs w:val="21"/>
                <w:vertAlign w:val="baseline"/>
              </w:rPr>
            </w:pPr>
          </w:p>
        </w:tc>
      </w:tr>
    </w:tbl>
    <w:p>
      <w:pPr>
        <w:ind w:left="660" w:hanging="660" w:hangingChars="300"/>
      </w:pPr>
      <w:r>
        <w:rPr>
          <w:rFonts w:hint="eastAsia" w:ascii="Times New Roman" w:hAnsi="Times New Roman" w:eastAsia="宋体" w:cs="Times New Roman"/>
          <w:kern w:val="0"/>
          <w:sz w:val="22"/>
          <w:szCs w:val="22"/>
          <w:lang w:eastAsia="zh-CN"/>
        </w:rPr>
        <w:t>说</w:t>
      </w:r>
      <w:r>
        <w:rPr>
          <w:rFonts w:ascii="Times New Roman" w:hAnsi="Times New Roman" w:eastAsia="宋体" w:cs="Times New Roman"/>
          <w:kern w:val="0"/>
          <w:sz w:val="22"/>
          <w:szCs w:val="22"/>
        </w:rPr>
        <w:t>明：1.申报企供的证明材料复印件，每份应加盖企业公章。</w:t>
      </w:r>
      <w:r>
        <w:rPr>
          <w:rFonts w:ascii="Times New Roman" w:hAnsi="Times New Roman" w:eastAsia="宋体" w:cs="Times New Roman"/>
          <w:kern w:val="0"/>
          <w:sz w:val="22"/>
          <w:szCs w:val="22"/>
        </w:rPr>
        <w:br w:type="textWrapping"/>
      </w:r>
      <w:r>
        <w:rPr>
          <w:rFonts w:ascii="Times New Roman" w:hAnsi="Times New Roman" w:eastAsia="宋体" w:cs="Times New Roman"/>
          <w:kern w:val="0"/>
          <w:sz w:val="22"/>
          <w:szCs w:val="22"/>
        </w:rPr>
        <w:t>2.本标准涉及的数据以申报企业本身数据为准。</w:t>
      </w:r>
    </w:p>
    <w:p>
      <w:pPr>
        <w:pStyle w:val="2"/>
      </w:pPr>
    </w:p>
    <w:p/>
    <w:sectPr>
      <w:pgSz w:w="11905" w:h="16838"/>
      <w:pgMar w:top="1440" w:right="1485" w:bottom="1440" w:left="138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A7CE0"/>
    <w:multiLevelType w:val="singleLevel"/>
    <w:tmpl w:val="FF9A7CE0"/>
    <w:lvl w:ilvl="0" w:tentative="0">
      <w:start w:val="1"/>
      <w:numFmt w:val="decimal"/>
      <w:suff w:val="nothing"/>
      <w:lvlText w:val="%1、"/>
      <w:lvlJc w:val="left"/>
    </w:lvl>
  </w:abstractNum>
  <w:abstractNum w:abstractNumId="1">
    <w:nsid w:val="0325BF15"/>
    <w:multiLevelType w:val="singleLevel"/>
    <w:tmpl w:val="0325BF15"/>
    <w:lvl w:ilvl="0" w:tentative="0">
      <w:start w:val="1"/>
      <w:numFmt w:val="decimal"/>
      <w:suff w:val="nothing"/>
      <w:lvlText w:val="%1、"/>
      <w:lvlJc w:val="left"/>
    </w:lvl>
  </w:abstractNum>
  <w:abstractNum w:abstractNumId="2">
    <w:nsid w:val="0AD35D3B"/>
    <w:multiLevelType w:val="singleLevel"/>
    <w:tmpl w:val="0AD35D3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724F4"/>
    <w:rsid w:val="3B0724F4"/>
    <w:rsid w:val="5D1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unhideWhenUsed/>
    <w:qFormat/>
    <w:uiPriority w:val="0"/>
    <w:pPr>
      <w:kinsoku w:val="0"/>
      <w:autoSpaceDE w:val="0"/>
      <w:autoSpaceDN w:val="0"/>
      <w:adjustRightInd w:val="0"/>
      <w:snapToGrid w:val="0"/>
      <w:ind w:firstLine="420" w:firstLineChars="200"/>
      <w:textAlignment w:val="baseline"/>
    </w:pPr>
    <w:rPr>
      <w:rFonts w:ascii="Arial" w:hAnsi="Arial" w:cs="Arial" w:eastAsiaTheme="minorEastAsia"/>
      <w:snapToGrid w:val="0"/>
      <w:color w:val="000000"/>
      <w:sz w:val="21"/>
      <w:szCs w:val="21"/>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2024-12-17T00:29:00Z</dcterms:created>
  <dc:creator>Administrator</dc:creator>
  <cp:lastModifiedBy>Administrator</cp:lastModifiedBy>
  <dcterms:modified xsi:type="dcterms:W3CDTF">2024-12-17T09:10:28Z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FF3EE7F6AF154A2795C507A96270893A</vt:lpwstr>
  </property>
</Properties>
</file>