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lang w:val="en-US" w:eastAsia="zh-CN"/>
        </w:rPr>
        <w:t>附件</w:t>
      </w:r>
      <w:r>
        <w:rPr>
          <w:rFonts w:hint="eastAsia"/>
        </w:rPr>
        <w:t>1:</w:t>
      </w:r>
    </w:p>
    <w:p>
      <w:pPr>
        <w:numPr>
          <w:numId w:val="0"/>
        </w:numPr>
        <w:rPr>
          <w:rFonts w:hint="eastAsia"/>
        </w:rPr>
      </w:pPr>
      <w:r>
        <w:rPr>
          <w:rFonts w:hint="eastAsia"/>
          <w:lang w:val="en-US" w:eastAsia="zh-CN"/>
        </w:rPr>
        <w:t>表1：</w:t>
      </w:r>
      <w:r>
        <w:rPr>
          <w:rFonts w:hint="eastAsia"/>
        </w:rPr>
        <w:t>放射诊疗设备性能与工作场所防护</w:t>
      </w:r>
      <w:r>
        <w:rPr>
          <w:rFonts w:hint="eastAsia"/>
          <w:lang w:val="en-US" w:eastAsia="zh-CN"/>
        </w:rPr>
        <w:t>2024</w:t>
      </w:r>
      <w:r>
        <w:rPr>
          <w:rFonts w:hint="eastAsia"/>
        </w:rPr>
        <w:t>年度检测需求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4"/>
        <w:gridCol w:w="1807"/>
        <w:gridCol w:w="1235"/>
        <w:gridCol w:w="988"/>
        <w:gridCol w:w="921"/>
        <w:gridCol w:w="1404"/>
        <w:gridCol w:w="16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numPr>
                <w:ilvl w:val="0"/>
                <w:numId w:val="0"/>
              </w:numPr>
              <w:jc w:val="center"/>
              <w:rPr>
                <w:rFonts w:hint="eastAsia" w:eastAsiaTheme="minorEastAsia"/>
                <w:vertAlign w:val="baseline"/>
                <w:lang w:val="en-US" w:eastAsia="zh-CN"/>
              </w:rPr>
            </w:pPr>
            <w:r>
              <w:rPr>
                <w:rFonts w:hint="eastAsia"/>
                <w:vertAlign w:val="baseline"/>
                <w:lang w:val="en-US" w:eastAsia="zh-CN"/>
              </w:rPr>
              <w:t>序号</w:t>
            </w:r>
          </w:p>
        </w:tc>
        <w:tc>
          <w:tcPr>
            <w:tcW w:w="1807"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设备名称</w:t>
            </w:r>
          </w:p>
        </w:tc>
        <w:tc>
          <w:tcPr>
            <w:tcW w:w="1235"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检测服务类别/项目</w:t>
            </w:r>
          </w:p>
        </w:tc>
        <w:tc>
          <w:tcPr>
            <w:tcW w:w="988"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数量（年度）</w:t>
            </w:r>
          </w:p>
        </w:tc>
        <w:tc>
          <w:tcPr>
            <w:tcW w:w="921"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限价（元）</w:t>
            </w:r>
          </w:p>
        </w:tc>
        <w:tc>
          <w:tcPr>
            <w:tcW w:w="1404"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检测公司报价（单价/年）</w:t>
            </w:r>
          </w:p>
        </w:tc>
        <w:tc>
          <w:tcPr>
            <w:tcW w:w="1640" w:type="dxa"/>
          </w:tcPr>
          <w:p>
            <w:pPr>
              <w:numPr>
                <w:ilvl w:val="0"/>
                <w:numId w:val="0"/>
              </w:numPr>
              <w:jc w:val="center"/>
              <w:rPr>
                <w:rFonts w:hint="default"/>
                <w:vertAlign w:val="baseline"/>
                <w:lang w:val="en-US" w:eastAsia="zh-CN"/>
              </w:rPr>
            </w:pPr>
            <w:r>
              <w:rPr>
                <w:rFonts w:hint="eastAsia"/>
                <w:vertAlign w:val="baseline"/>
                <w:lang w:val="en-US" w:eastAsia="zh-CN"/>
              </w:rPr>
              <w:t>检测公司报价（总价）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1</w:t>
            </w:r>
          </w:p>
        </w:tc>
        <w:tc>
          <w:tcPr>
            <w:tcW w:w="1807"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DR1</w:t>
            </w:r>
          </w:p>
        </w:tc>
        <w:tc>
          <w:tcPr>
            <w:tcW w:w="1235" w:type="dxa"/>
            <w:vMerge w:val="restart"/>
          </w:tcPr>
          <w:p>
            <w:pPr>
              <w:numPr>
                <w:ilvl w:val="0"/>
                <w:numId w:val="0"/>
              </w:numPr>
              <w:jc w:val="center"/>
              <w:rPr>
                <w:rFonts w:hint="eastAsia"/>
                <w:vertAlign w:val="baseline"/>
              </w:rPr>
            </w:pPr>
          </w:p>
          <w:p>
            <w:pPr>
              <w:numPr>
                <w:ilvl w:val="0"/>
                <w:numId w:val="0"/>
              </w:numPr>
              <w:jc w:val="center"/>
              <w:rPr>
                <w:rFonts w:hint="default" w:eastAsiaTheme="minorEastAsia"/>
                <w:vertAlign w:val="baseline"/>
                <w:lang w:val="en-US" w:eastAsia="zh-CN"/>
              </w:rPr>
            </w:pPr>
            <w:r>
              <w:rPr>
                <w:rFonts w:hint="eastAsia"/>
                <w:vertAlign w:val="baseline"/>
              </w:rPr>
              <w:t>设备性能检测+场所防护检测</w:t>
            </w:r>
            <w:r>
              <w:rPr>
                <w:rFonts w:hint="eastAsia"/>
                <w:vertAlign w:val="baseline"/>
                <w:lang w:val="en-US" w:eastAsia="zh-CN"/>
              </w:rPr>
              <w:t>+坏境监测</w:t>
            </w:r>
          </w:p>
        </w:tc>
        <w:tc>
          <w:tcPr>
            <w:tcW w:w="988" w:type="dxa"/>
            <w:vMerge w:val="restart"/>
          </w:tcPr>
          <w:p>
            <w:pPr>
              <w:numPr>
                <w:ilvl w:val="0"/>
                <w:numId w:val="0"/>
              </w:numPr>
              <w:jc w:val="center"/>
              <w:rPr>
                <w:rFonts w:hint="eastAsia"/>
                <w:vertAlign w:val="baseline"/>
                <w:lang w:val="en-US" w:eastAsia="zh-CN"/>
              </w:rPr>
            </w:pPr>
          </w:p>
          <w:p>
            <w:pPr>
              <w:numPr>
                <w:ilvl w:val="0"/>
                <w:numId w:val="0"/>
              </w:numPr>
              <w:jc w:val="center"/>
              <w:rPr>
                <w:rFonts w:hint="eastAsia"/>
                <w:vertAlign w:val="baseline"/>
                <w:lang w:val="en-US" w:eastAsia="zh-CN"/>
              </w:rPr>
            </w:pPr>
          </w:p>
          <w:p>
            <w:pPr>
              <w:numPr>
                <w:ilvl w:val="0"/>
                <w:numId w:val="0"/>
              </w:numPr>
              <w:jc w:val="center"/>
              <w:rPr>
                <w:rFonts w:hint="default" w:eastAsiaTheme="minorEastAsia"/>
                <w:vertAlign w:val="baseline"/>
                <w:lang w:val="en-US" w:eastAsia="zh-CN"/>
              </w:rPr>
            </w:pPr>
            <w:r>
              <w:rPr>
                <w:rFonts w:hint="eastAsia"/>
                <w:vertAlign w:val="baseline"/>
                <w:lang w:val="en-US" w:eastAsia="zh-CN"/>
              </w:rPr>
              <w:t>2024年度（1年）</w:t>
            </w:r>
          </w:p>
        </w:tc>
        <w:tc>
          <w:tcPr>
            <w:tcW w:w="921" w:type="dxa"/>
            <w:vMerge w:val="restart"/>
          </w:tcPr>
          <w:p>
            <w:pPr>
              <w:numPr>
                <w:ilvl w:val="0"/>
                <w:numId w:val="0"/>
              </w:numPr>
              <w:jc w:val="center"/>
              <w:rPr>
                <w:rFonts w:hint="eastAsia"/>
                <w:vertAlign w:val="baseline"/>
                <w:lang w:val="en-US" w:eastAsia="zh-CN"/>
              </w:rPr>
            </w:pPr>
          </w:p>
          <w:p>
            <w:pPr>
              <w:numPr>
                <w:ilvl w:val="0"/>
                <w:numId w:val="0"/>
              </w:numPr>
              <w:jc w:val="center"/>
              <w:rPr>
                <w:rFonts w:hint="eastAsia"/>
                <w:vertAlign w:val="baseline"/>
                <w:lang w:val="en-US" w:eastAsia="zh-CN"/>
              </w:rPr>
            </w:pPr>
          </w:p>
          <w:p>
            <w:pPr>
              <w:numPr>
                <w:ilvl w:val="0"/>
                <w:numId w:val="0"/>
              </w:numPr>
              <w:jc w:val="center"/>
              <w:rPr>
                <w:rFonts w:hint="default" w:eastAsiaTheme="minorEastAsia"/>
                <w:vertAlign w:val="baseline"/>
                <w:lang w:val="en-US" w:eastAsia="zh-CN"/>
              </w:rPr>
            </w:pPr>
            <w:r>
              <w:rPr>
                <w:rFonts w:hint="eastAsia"/>
                <w:vertAlign w:val="baseline"/>
                <w:lang w:val="en-US" w:eastAsia="zh-CN"/>
              </w:rPr>
              <w:t>13630</w:t>
            </w:r>
          </w:p>
        </w:tc>
        <w:tc>
          <w:tcPr>
            <w:tcW w:w="1404" w:type="dxa"/>
            <w:vMerge w:val="restart"/>
          </w:tcPr>
          <w:p>
            <w:pPr>
              <w:numPr>
                <w:ilvl w:val="0"/>
                <w:numId w:val="0"/>
              </w:numPr>
              <w:jc w:val="center"/>
              <w:rPr>
                <w:rFonts w:hint="eastAsia"/>
                <w:vertAlign w:val="baseline"/>
              </w:rPr>
            </w:pPr>
          </w:p>
        </w:tc>
        <w:tc>
          <w:tcPr>
            <w:tcW w:w="1640" w:type="dxa"/>
            <w:vMerge w:val="restart"/>
          </w:tcPr>
          <w:p>
            <w:pPr>
              <w:numPr>
                <w:ilvl w:val="0"/>
                <w:numId w:val="0"/>
              </w:num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numPr>
                <w:ilvl w:val="0"/>
                <w:numId w:val="0"/>
              </w:numPr>
              <w:jc w:val="center"/>
              <w:rPr>
                <w:rFonts w:hint="eastAsia" w:eastAsiaTheme="minorEastAsia"/>
                <w:vertAlign w:val="baseline"/>
                <w:lang w:val="en-US" w:eastAsia="zh-CN"/>
              </w:rPr>
            </w:pPr>
            <w:r>
              <w:rPr>
                <w:rFonts w:hint="eastAsia"/>
                <w:vertAlign w:val="baseline"/>
                <w:lang w:val="en-US" w:eastAsia="zh-CN"/>
              </w:rPr>
              <w:t>2</w:t>
            </w:r>
          </w:p>
        </w:tc>
        <w:tc>
          <w:tcPr>
            <w:tcW w:w="1807"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DR2（看守所）</w:t>
            </w:r>
          </w:p>
        </w:tc>
        <w:tc>
          <w:tcPr>
            <w:tcW w:w="1235" w:type="dxa"/>
            <w:vMerge w:val="continue"/>
          </w:tcPr>
          <w:p>
            <w:pPr>
              <w:numPr>
                <w:ilvl w:val="0"/>
                <w:numId w:val="0"/>
              </w:numPr>
              <w:jc w:val="center"/>
              <w:rPr>
                <w:rFonts w:hint="eastAsia"/>
                <w:vertAlign w:val="baseline"/>
              </w:rPr>
            </w:pPr>
          </w:p>
        </w:tc>
        <w:tc>
          <w:tcPr>
            <w:tcW w:w="988" w:type="dxa"/>
            <w:vMerge w:val="continue"/>
          </w:tcPr>
          <w:p>
            <w:pPr>
              <w:numPr>
                <w:ilvl w:val="0"/>
                <w:numId w:val="0"/>
              </w:numPr>
              <w:jc w:val="center"/>
              <w:rPr>
                <w:rFonts w:hint="eastAsia"/>
                <w:vertAlign w:val="baseline"/>
              </w:rPr>
            </w:pPr>
          </w:p>
        </w:tc>
        <w:tc>
          <w:tcPr>
            <w:tcW w:w="921" w:type="dxa"/>
            <w:vMerge w:val="continue"/>
          </w:tcPr>
          <w:p>
            <w:pPr>
              <w:numPr>
                <w:ilvl w:val="0"/>
                <w:numId w:val="0"/>
              </w:numPr>
              <w:jc w:val="center"/>
              <w:rPr>
                <w:rFonts w:hint="eastAsia"/>
                <w:vertAlign w:val="baseline"/>
              </w:rPr>
            </w:pPr>
          </w:p>
        </w:tc>
        <w:tc>
          <w:tcPr>
            <w:tcW w:w="1404" w:type="dxa"/>
            <w:vMerge w:val="continue"/>
          </w:tcPr>
          <w:p>
            <w:pPr>
              <w:numPr>
                <w:ilvl w:val="0"/>
                <w:numId w:val="0"/>
              </w:numPr>
              <w:jc w:val="center"/>
              <w:rPr>
                <w:rFonts w:hint="eastAsia"/>
                <w:vertAlign w:val="baseline"/>
              </w:rPr>
            </w:pPr>
          </w:p>
        </w:tc>
        <w:tc>
          <w:tcPr>
            <w:tcW w:w="1640" w:type="dxa"/>
            <w:vMerge w:val="continue"/>
          </w:tcPr>
          <w:p>
            <w:pPr>
              <w:numPr>
                <w:ilvl w:val="0"/>
                <w:numId w:val="0"/>
              </w:num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numPr>
                <w:ilvl w:val="0"/>
                <w:numId w:val="0"/>
              </w:numPr>
              <w:jc w:val="center"/>
              <w:rPr>
                <w:rFonts w:hint="eastAsia" w:eastAsiaTheme="minorEastAsia"/>
                <w:vertAlign w:val="baseline"/>
                <w:lang w:val="en-US" w:eastAsia="zh-CN"/>
              </w:rPr>
            </w:pPr>
            <w:r>
              <w:rPr>
                <w:rFonts w:hint="eastAsia"/>
                <w:vertAlign w:val="baseline"/>
                <w:lang w:val="en-US" w:eastAsia="zh-CN"/>
              </w:rPr>
              <w:t>3</w:t>
            </w:r>
          </w:p>
        </w:tc>
        <w:tc>
          <w:tcPr>
            <w:tcW w:w="1807"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移动DR</w:t>
            </w:r>
          </w:p>
        </w:tc>
        <w:tc>
          <w:tcPr>
            <w:tcW w:w="1235" w:type="dxa"/>
            <w:vMerge w:val="continue"/>
          </w:tcPr>
          <w:p>
            <w:pPr>
              <w:numPr>
                <w:ilvl w:val="0"/>
                <w:numId w:val="0"/>
              </w:numPr>
              <w:jc w:val="center"/>
              <w:rPr>
                <w:rFonts w:hint="eastAsia"/>
                <w:vertAlign w:val="baseline"/>
              </w:rPr>
            </w:pPr>
          </w:p>
        </w:tc>
        <w:tc>
          <w:tcPr>
            <w:tcW w:w="988" w:type="dxa"/>
            <w:vMerge w:val="continue"/>
          </w:tcPr>
          <w:p>
            <w:pPr>
              <w:numPr>
                <w:ilvl w:val="0"/>
                <w:numId w:val="0"/>
              </w:numPr>
              <w:jc w:val="center"/>
              <w:rPr>
                <w:rFonts w:hint="eastAsia"/>
                <w:vertAlign w:val="baseline"/>
              </w:rPr>
            </w:pPr>
          </w:p>
        </w:tc>
        <w:tc>
          <w:tcPr>
            <w:tcW w:w="921" w:type="dxa"/>
            <w:vMerge w:val="continue"/>
          </w:tcPr>
          <w:p>
            <w:pPr>
              <w:numPr>
                <w:ilvl w:val="0"/>
                <w:numId w:val="0"/>
              </w:numPr>
              <w:jc w:val="center"/>
              <w:rPr>
                <w:rFonts w:hint="eastAsia"/>
                <w:vertAlign w:val="baseline"/>
              </w:rPr>
            </w:pPr>
          </w:p>
        </w:tc>
        <w:tc>
          <w:tcPr>
            <w:tcW w:w="1404" w:type="dxa"/>
            <w:vMerge w:val="continue"/>
          </w:tcPr>
          <w:p>
            <w:pPr>
              <w:numPr>
                <w:ilvl w:val="0"/>
                <w:numId w:val="0"/>
              </w:numPr>
              <w:jc w:val="center"/>
              <w:rPr>
                <w:rFonts w:hint="eastAsia"/>
                <w:vertAlign w:val="baseline"/>
              </w:rPr>
            </w:pPr>
          </w:p>
        </w:tc>
        <w:tc>
          <w:tcPr>
            <w:tcW w:w="1640" w:type="dxa"/>
            <w:vMerge w:val="continue"/>
          </w:tcPr>
          <w:p>
            <w:pPr>
              <w:numPr>
                <w:ilvl w:val="0"/>
                <w:numId w:val="0"/>
              </w:num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numPr>
                <w:ilvl w:val="0"/>
                <w:numId w:val="0"/>
              </w:numPr>
              <w:jc w:val="center"/>
              <w:rPr>
                <w:rFonts w:hint="eastAsia" w:eastAsiaTheme="minorEastAsia"/>
                <w:vertAlign w:val="baseline"/>
                <w:lang w:val="en-US" w:eastAsia="zh-CN"/>
              </w:rPr>
            </w:pPr>
            <w:r>
              <w:rPr>
                <w:rFonts w:hint="eastAsia"/>
                <w:vertAlign w:val="baseline"/>
                <w:lang w:val="en-US" w:eastAsia="zh-CN"/>
              </w:rPr>
              <w:t>4</w:t>
            </w:r>
          </w:p>
        </w:tc>
        <w:tc>
          <w:tcPr>
            <w:tcW w:w="1807"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小型CT臂（手术室）</w:t>
            </w:r>
          </w:p>
        </w:tc>
        <w:tc>
          <w:tcPr>
            <w:tcW w:w="1235" w:type="dxa"/>
            <w:vMerge w:val="continue"/>
          </w:tcPr>
          <w:p>
            <w:pPr>
              <w:numPr>
                <w:ilvl w:val="0"/>
                <w:numId w:val="0"/>
              </w:numPr>
              <w:jc w:val="center"/>
              <w:rPr>
                <w:rFonts w:hint="eastAsia"/>
                <w:vertAlign w:val="baseline"/>
              </w:rPr>
            </w:pPr>
          </w:p>
        </w:tc>
        <w:tc>
          <w:tcPr>
            <w:tcW w:w="988" w:type="dxa"/>
            <w:vMerge w:val="continue"/>
          </w:tcPr>
          <w:p>
            <w:pPr>
              <w:numPr>
                <w:ilvl w:val="0"/>
                <w:numId w:val="0"/>
              </w:numPr>
              <w:jc w:val="center"/>
              <w:rPr>
                <w:rFonts w:hint="eastAsia"/>
                <w:vertAlign w:val="baseline"/>
              </w:rPr>
            </w:pPr>
          </w:p>
        </w:tc>
        <w:tc>
          <w:tcPr>
            <w:tcW w:w="921" w:type="dxa"/>
            <w:vMerge w:val="continue"/>
          </w:tcPr>
          <w:p>
            <w:pPr>
              <w:numPr>
                <w:ilvl w:val="0"/>
                <w:numId w:val="0"/>
              </w:numPr>
              <w:jc w:val="center"/>
              <w:rPr>
                <w:rFonts w:hint="eastAsia"/>
                <w:vertAlign w:val="baseline"/>
              </w:rPr>
            </w:pPr>
          </w:p>
        </w:tc>
        <w:tc>
          <w:tcPr>
            <w:tcW w:w="1404" w:type="dxa"/>
            <w:vMerge w:val="continue"/>
          </w:tcPr>
          <w:p>
            <w:pPr>
              <w:numPr>
                <w:ilvl w:val="0"/>
                <w:numId w:val="0"/>
              </w:numPr>
              <w:jc w:val="center"/>
              <w:rPr>
                <w:rFonts w:hint="eastAsia"/>
                <w:vertAlign w:val="baseline"/>
              </w:rPr>
            </w:pPr>
          </w:p>
        </w:tc>
        <w:tc>
          <w:tcPr>
            <w:tcW w:w="1640" w:type="dxa"/>
            <w:vMerge w:val="continue"/>
          </w:tcPr>
          <w:p>
            <w:pPr>
              <w:numPr>
                <w:ilvl w:val="0"/>
                <w:numId w:val="0"/>
              </w:num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4" w:type="dxa"/>
          </w:tcPr>
          <w:p>
            <w:pPr>
              <w:numPr>
                <w:ilvl w:val="0"/>
                <w:numId w:val="0"/>
              </w:numPr>
              <w:jc w:val="center"/>
              <w:rPr>
                <w:rFonts w:hint="eastAsia" w:eastAsiaTheme="minorEastAsia"/>
                <w:vertAlign w:val="baseline"/>
                <w:lang w:val="en-US" w:eastAsia="zh-CN"/>
              </w:rPr>
            </w:pPr>
            <w:r>
              <w:rPr>
                <w:rFonts w:hint="eastAsia"/>
                <w:vertAlign w:val="baseline"/>
                <w:lang w:val="en-US" w:eastAsia="zh-CN"/>
              </w:rPr>
              <w:t>5</w:t>
            </w:r>
          </w:p>
        </w:tc>
        <w:tc>
          <w:tcPr>
            <w:tcW w:w="1807"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CT</w:t>
            </w:r>
          </w:p>
        </w:tc>
        <w:tc>
          <w:tcPr>
            <w:tcW w:w="1235" w:type="dxa"/>
            <w:vMerge w:val="continue"/>
          </w:tcPr>
          <w:p>
            <w:pPr>
              <w:numPr>
                <w:ilvl w:val="0"/>
                <w:numId w:val="0"/>
              </w:numPr>
              <w:jc w:val="center"/>
              <w:rPr>
                <w:rFonts w:hint="eastAsia"/>
                <w:vertAlign w:val="baseline"/>
              </w:rPr>
            </w:pPr>
          </w:p>
        </w:tc>
        <w:tc>
          <w:tcPr>
            <w:tcW w:w="988" w:type="dxa"/>
            <w:vMerge w:val="continue"/>
          </w:tcPr>
          <w:p>
            <w:pPr>
              <w:numPr>
                <w:ilvl w:val="0"/>
                <w:numId w:val="0"/>
              </w:numPr>
              <w:jc w:val="center"/>
              <w:rPr>
                <w:rFonts w:hint="eastAsia"/>
                <w:vertAlign w:val="baseline"/>
              </w:rPr>
            </w:pPr>
          </w:p>
        </w:tc>
        <w:tc>
          <w:tcPr>
            <w:tcW w:w="921" w:type="dxa"/>
            <w:vMerge w:val="continue"/>
          </w:tcPr>
          <w:p>
            <w:pPr>
              <w:numPr>
                <w:ilvl w:val="0"/>
                <w:numId w:val="0"/>
              </w:numPr>
              <w:jc w:val="center"/>
              <w:rPr>
                <w:rFonts w:hint="eastAsia"/>
                <w:vertAlign w:val="baseline"/>
              </w:rPr>
            </w:pPr>
          </w:p>
        </w:tc>
        <w:tc>
          <w:tcPr>
            <w:tcW w:w="1404" w:type="dxa"/>
            <w:vMerge w:val="continue"/>
          </w:tcPr>
          <w:p>
            <w:pPr>
              <w:numPr>
                <w:ilvl w:val="0"/>
                <w:numId w:val="0"/>
              </w:numPr>
              <w:jc w:val="center"/>
              <w:rPr>
                <w:rFonts w:hint="eastAsia"/>
                <w:vertAlign w:val="baseline"/>
              </w:rPr>
            </w:pPr>
          </w:p>
        </w:tc>
        <w:tc>
          <w:tcPr>
            <w:tcW w:w="1640" w:type="dxa"/>
            <w:vMerge w:val="continue"/>
          </w:tcPr>
          <w:p>
            <w:pPr>
              <w:numPr>
                <w:ilvl w:val="0"/>
                <w:numId w:val="0"/>
              </w:numPr>
              <w:jc w:val="center"/>
              <w:rPr>
                <w:rFonts w:hint="eastAsia"/>
                <w:vertAlign w:val="baseline"/>
              </w:rPr>
            </w:pPr>
          </w:p>
        </w:tc>
      </w:tr>
    </w:tbl>
    <w:p>
      <w:pPr>
        <w:numPr>
          <w:numId w:val="0"/>
        </w:numPr>
        <w:rPr>
          <w:rFonts w:hint="eastAsia"/>
        </w:rPr>
      </w:pPr>
      <w:r>
        <w:rPr>
          <w:rFonts w:hint="eastAsia"/>
          <w:lang w:val="en-US" w:eastAsia="zh-CN"/>
        </w:rPr>
        <w:t>表2：</w:t>
      </w:r>
      <w:r>
        <w:rPr>
          <w:rFonts w:hint="eastAsia"/>
        </w:rPr>
        <w:t>放射诊疗设备性能与工作场所防护</w:t>
      </w:r>
      <w:r>
        <w:rPr>
          <w:rFonts w:hint="eastAsia"/>
          <w:lang w:val="en-US" w:eastAsia="zh-CN"/>
        </w:rPr>
        <w:t>及个人剂量监测2025-2027</w:t>
      </w:r>
      <w:r>
        <w:rPr>
          <w:rFonts w:hint="eastAsia"/>
        </w:rPr>
        <w:t>年度检测需求</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
        <w:gridCol w:w="1756"/>
        <w:gridCol w:w="1198"/>
        <w:gridCol w:w="1132"/>
        <w:gridCol w:w="979"/>
        <w:gridCol w:w="147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tcPr>
          <w:p>
            <w:pPr>
              <w:numPr>
                <w:ilvl w:val="0"/>
                <w:numId w:val="0"/>
              </w:numPr>
              <w:jc w:val="center"/>
              <w:rPr>
                <w:rFonts w:hint="eastAsia" w:eastAsiaTheme="minorEastAsia"/>
                <w:vertAlign w:val="baseline"/>
                <w:lang w:val="en-US" w:eastAsia="zh-CN"/>
              </w:rPr>
            </w:pPr>
            <w:r>
              <w:rPr>
                <w:rFonts w:hint="eastAsia"/>
                <w:vertAlign w:val="baseline"/>
                <w:lang w:val="en-US" w:eastAsia="zh-CN"/>
              </w:rPr>
              <w:t>序号</w:t>
            </w:r>
          </w:p>
        </w:tc>
        <w:tc>
          <w:tcPr>
            <w:tcW w:w="1756"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设备名称</w:t>
            </w:r>
          </w:p>
        </w:tc>
        <w:tc>
          <w:tcPr>
            <w:tcW w:w="1198"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检测服务类别/项目</w:t>
            </w:r>
          </w:p>
        </w:tc>
        <w:tc>
          <w:tcPr>
            <w:tcW w:w="1132"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数量（年度）</w:t>
            </w:r>
          </w:p>
        </w:tc>
        <w:tc>
          <w:tcPr>
            <w:tcW w:w="979"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限价（元）</w:t>
            </w:r>
          </w:p>
        </w:tc>
        <w:tc>
          <w:tcPr>
            <w:tcW w:w="1473"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检测公司报价（单价/年）</w:t>
            </w:r>
          </w:p>
        </w:tc>
        <w:tc>
          <w:tcPr>
            <w:tcW w:w="1464" w:type="dxa"/>
          </w:tcPr>
          <w:p>
            <w:pPr>
              <w:numPr>
                <w:ilvl w:val="0"/>
                <w:numId w:val="0"/>
              </w:numPr>
              <w:jc w:val="center"/>
              <w:rPr>
                <w:rFonts w:hint="eastAsia"/>
                <w:vertAlign w:val="baseline"/>
                <w:lang w:val="en-US" w:eastAsia="zh-CN"/>
              </w:rPr>
            </w:pPr>
            <w:r>
              <w:rPr>
                <w:rFonts w:hint="eastAsia"/>
                <w:vertAlign w:val="baseline"/>
                <w:lang w:val="en-US" w:eastAsia="zh-CN"/>
              </w:rPr>
              <w:t>检测公司报价（3年总价）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1</w:t>
            </w:r>
          </w:p>
        </w:tc>
        <w:tc>
          <w:tcPr>
            <w:tcW w:w="1756"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DR1</w:t>
            </w:r>
          </w:p>
        </w:tc>
        <w:tc>
          <w:tcPr>
            <w:tcW w:w="1198" w:type="dxa"/>
            <w:vMerge w:val="restart"/>
          </w:tcPr>
          <w:p>
            <w:pPr>
              <w:numPr>
                <w:ilvl w:val="0"/>
                <w:numId w:val="0"/>
              </w:numPr>
              <w:jc w:val="center"/>
              <w:rPr>
                <w:rFonts w:hint="eastAsia"/>
                <w:vertAlign w:val="baseline"/>
              </w:rPr>
            </w:pPr>
          </w:p>
          <w:p>
            <w:pPr>
              <w:numPr>
                <w:ilvl w:val="0"/>
                <w:numId w:val="0"/>
              </w:numPr>
              <w:jc w:val="center"/>
              <w:rPr>
                <w:rFonts w:hint="default" w:eastAsiaTheme="minorEastAsia"/>
                <w:vertAlign w:val="baseline"/>
                <w:lang w:val="en-US" w:eastAsia="zh-CN"/>
              </w:rPr>
            </w:pPr>
            <w:r>
              <w:rPr>
                <w:rFonts w:hint="eastAsia"/>
                <w:vertAlign w:val="baseline"/>
              </w:rPr>
              <w:t>设备性能检测+场所防护检测</w:t>
            </w:r>
            <w:r>
              <w:rPr>
                <w:rFonts w:hint="eastAsia"/>
                <w:vertAlign w:val="baseline"/>
                <w:lang w:val="en-US" w:eastAsia="zh-CN"/>
              </w:rPr>
              <w:t>+坏境监测</w:t>
            </w:r>
          </w:p>
        </w:tc>
        <w:tc>
          <w:tcPr>
            <w:tcW w:w="1132" w:type="dxa"/>
            <w:vMerge w:val="restart"/>
          </w:tcPr>
          <w:p>
            <w:pPr>
              <w:numPr>
                <w:ilvl w:val="0"/>
                <w:numId w:val="0"/>
              </w:numPr>
              <w:jc w:val="center"/>
              <w:rPr>
                <w:rFonts w:hint="eastAsia"/>
                <w:vertAlign w:val="baseline"/>
                <w:lang w:val="en-US" w:eastAsia="zh-CN"/>
              </w:rPr>
            </w:pPr>
          </w:p>
          <w:p>
            <w:pPr>
              <w:numPr>
                <w:ilvl w:val="0"/>
                <w:numId w:val="0"/>
              </w:numPr>
              <w:jc w:val="center"/>
              <w:rPr>
                <w:rFonts w:hint="eastAsia"/>
                <w:vertAlign w:val="baseline"/>
                <w:lang w:val="en-US" w:eastAsia="zh-CN"/>
              </w:rPr>
            </w:pPr>
          </w:p>
          <w:p>
            <w:pPr>
              <w:numPr>
                <w:ilvl w:val="0"/>
                <w:numId w:val="0"/>
              </w:numPr>
              <w:jc w:val="center"/>
              <w:rPr>
                <w:rFonts w:hint="default" w:eastAsiaTheme="minorEastAsia"/>
                <w:vertAlign w:val="baseline"/>
                <w:lang w:val="en-US" w:eastAsia="zh-CN"/>
              </w:rPr>
            </w:pPr>
            <w:r>
              <w:rPr>
                <w:rFonts w:hint="eastAsia"/>
                <w:vertAlign w:val="baseline"/>
                <w:lang w:val="en-US" w:eastAsia="zh-CN"/>
              </w:rPr>
              <w:t>2025-2027年度（3年）</w:t>
            </w:r>
          </w:p>
        </w:tc>
        <w:tc>
          <w:tcPr>
            <w:tcW w:w="979" w:type="dxa"/>
            <w:vMerge w:val="restart"/>
          </w:tcPr>
          <w:p>
            <w:pPr>
              <w:numPr>
                <w:ilvl w:val="0"/>
                <w:numId w:val="0"/>
              </w:numPr>
              <w:jc w:val="center"/>
              <w:rPr>
                <w:rFonts w:hint="eastAsia"/>
                <w:vertAlign w:val="baseline"/>
                <w:lang w:val="en-US" w:eastAsia="zh-CN"/>
              </w:rPr>
            </w:pPr>
          </w:p>
          <w:p>
            <w:pPr>
              <w:numPr>
                <w:ilvl w:val="0"/>
                <w:numId w:val="0"/>
              </w:numPr>
              <w:jc w:val="center"/>
              <w:rPr>
                <w:rFonts w:hint="eastAsia"/>
                <w:vertAlign w:val="baseline"/>
                <w:lang w:val="en-US" w:eastAsia="zh-CN"/>
              </w:rPr>
            </w:pPr>
          </w:p>
          <w:p>
            <w:pPr>
              <w:numPr>
                <w:ilvl w:val="0"/>
                <w:numId w:val="0"/>
              </w:numPr>
              <w:jc w:val="center"/>
              <w:rPr>
                <w:rFonts w:hint="default" w:eastAsiaTheme="minorEastAsia"/>
                <w:vertAlign w:val="baseline"/>
                <w:lang w:val="en-US" w:eastAsia="zh-CN"/>
              </w:rPr>
            </w:pPr>
            <w:r>
              <w:rPr>
                <w:rFonts w:hint="eastAsia"/>
                <w:vertAlign w:val="baseline"/>
                <w:lang w:val="en-US" w:eastAsia="zh-CN"/>
              </w:rPr>
              <w:t>21750/年</w:t>
            </w:r>
          </w:p>
        </w:tc>
        <w:tc>
          <w:tcPr>
            <w:tcW w:w="1473" w:type="dxa"/>
            <w:vMerge w:val="restart"/>
          </w:tcPr>
          <w:p>
            <w:pPr>
              <w:numPr>
                <w:ilvl w:val="0"/>
                <w:numId w:val="0"/>
              </w:numPr>
              <w:jc w:val="center"/>
              <w:rPr>
                <w:rFonts w:hint="eastAsia"/>
                <w:vertAlign w:val="baseline"/>
              </w:rPr>
            </w:pPr>
          </w:p>
        </w:tc>
        <w:tc>
          <w:tcPr>
            <w:tcW w:w="1464" w:type="dxa"/>
            <w:vMerge w:val="restart"/>
          </w:tcPr>
          <w:p>
            <w:pPr>
              <w:numPr>
                <w:ilvl w:val="0"/>
                <w:numId w:val="0"/>
              </w:num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tcPr>
          <w:p>
            <w:pPr>
              <w:numPr>
                <w:ilvl w:val="0"/>
                <w:numId w:val="0"/>
              </w:numPr>
              <w:jc w:val="center"/>
              <w:rPr>
                <w:rFonts w:hint="eastAsia" w:eastAsiaTheme="minorEastAsia"/>
                <w:vertAlign w:val="baseline"/>
                <w:lang w:val="en-US" w:eastAsia="zh-CN"/>
              </w:rPr>
            </w:pPr>
            <w:r>
              <w:rPr>
                <w:rFonts w:hint="eastAsia"/>
                <w:vertAlign w:val="baseline"/>
                <w:lang w:val="en-US" w:eastAsia="zh-CN"/>
              </w:rPr>
              <w:t>2</w:t>
            </w:r>
          </w:p>
        </w:tc>
        <w:tc>
          <w:tcPr>
            <w:tcW w:w="1756"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DR2（看守所）</w:t>
            </w:r>
          </w:p>
        </w:tc>
        <w:tc>
          <w:tcPr>
            <w:tcW w:w="1198" w:type="dxa"/>
            <w:vMerge w:val="continue"/>
          </w:tcPr>
          <w:p>
            <w:pPr>
              <w:numPr>
                <w:ilvl w:val="0"/>
                <w:numId w:val="0"/>
              </w:numPr>
              <w:jc w:val="center"/>
              <w:rPr>
                <w:rFonts w:hint="eastAsia"/>
                <w:vertAlign w:val="baseline"/>
              </w:rPr>
            </w:pPr>
          </w:p>
        </w:tc>
        <w:tc>
          <w:tcPr>
            <w:tcW w:w="1132" w:type="dxa"/>
            <w:vMerge w:val="continue"/>
          </w:tcPr>
          <w:p>
            <w:pPr>
              <w:numPr>
                <w:ilvl w:val="0"/>
                <w:numId w:val="0"/>
              </w:numPr>
              <w:jc w:val="center"/>
              <w:rPr>
                <w:rFonts w:hint="eastAsia"/>
                <w:vertAlign w:val="baseline"/>
              </w:rPr>
            </w:pPr>
          </w:p>
        </w:tc>
        <w:tc>
          <w:tcPr>
            <w:tcW w:w="979" w:type="dxa"/>
            <w:vMerge w:val="continue"/>
          </w:tcPr>
          <w:p>
            <w:pPr>
              <w:numPr>
                <w:ilvl w:val="0"/>
                <w:numId w:val="0"/>
              </w:numPr>
              <w:jc w:val="center"/>
              <w:rPr>
                <w:rFonts w:hint="eastAsia"/>
                <w:vertAlign w:val="baseline"/>
              </w:rPr>
            </w:pPr>
          </w:p>
        </w:tc>
        <w:tc>
          <w:tcPr>
            <w:tcW w:w="1473" w:type="dxa"/>
            <w:vMerge w:val="continue"/>
          </w:tcPr>
          <w:p>
            <w:pPr>
              <w:numPr>
                <w:ilvl w:val="0"/>
                <w:numId w:val="0"/>
              </w:numPr>
              <w:jc w:val="center"/>
              <w:rPr>
                <w:rFonts w:hint="eastAsia"/>
                <w:vertAlign w:val="baseline"/>
              </w:rPr>
            </w:pPr>
          </w:p>
        </w:tc>
        <w:tc>
          <w:tcPr>
            <w:tcW w:w="1464" w:type="dxa"/>
            <w:vMerge w:val="continue"/>
          </w:tcPr>
          <w:p>
            <w:pPr>
              <w:numPr>
                <w:ilvl w:val="0"/>
                <w:numId w:val="0"/>
              </w:num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tcPr>
          <w:p>
            <w:pPr>
              <w:numPr>
                <w:ilvl w:val="0"/>
                <w:numId w:val="0"/>
              </w:numPr>
              <w:jc w:val="center"/>
              <w:rPr>
                <w:rFonts w:hint="eastAsia" w:eastAsiaTheme="minorEastAsia"/>
                <w:vertAlign w:val="baseline"/>
                <w:lang w:val="en-US" w:eastAsia="zh-CN"/>
              </w:rPr>
            </w:pPr>
            <w:r>
              <w:rPr>
                <w:rFonts w:hint="eastAsia"/>
                <w:vertAlign w:val="baseline"/>
                <w:lang w:val="en-US" w:eastAsia="zh-CN"/>
              </w:rPr>
              <w:t>3</w:t>
            </w:r>
          </w:p>
        </w:tc>
        <w:tc>
          <w:tcPr>
            <w:tcW w:w="1756"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移动DR</w:t>
            </w:r>
          </w:p>
        </w:tc>
        <w:tc>
          <w:tcPr>
            <w:tcW w:w="1198" w:type="dxa"/>
            <w:vMerge w:val="continue"/>
          </w:tcPr>
          <w:p>
            <w:pPr>
              <w:numPr>
                <w:ilvl w:val="0"/>
                <w:numId w:val="0"/>
              </w:numPr>
              <w:jc w:val="center"/>
              <w:rPr>
                <w:rFonts w:hint="eastAsia"/>
                <w:vertAlign w:val="baseline"/>
              </w:rPr>
            </w:pPr>
          </w:p>
        </w:tc>
        <w:tc>
          <w:tcPr>
            <w:tcW w:w="1132" w:type="dxa"/>
            <w:vMerge w:val="continue"/>
          </w:tcPr>
          <w:p>
            <w:pPr>
              <w:numPr>
                <w:ilvl w:val="0"/>
                <w:numId w:val="0"/>
              </w:numPr>
              <w:jc w:val="center"/>
              <w:rPr>
                <w:rFonts w:hint="eastAsia"/>
                <w:vertAlign w:val="baseline"/>
              </w:rPr>
            </w:pPr>
          </w:p>
        </w:tc>
        <w:tc>
          <w:tcPr>
            <w:tcW w:w="979" w:type="dxa"/>
            <w:vMerge w:val="continue"/>
          </w:tcPr>
          <w:p>
            <w:pPr>
              <w:numPr>
                <w:ilvl w:val="0"/>
                <w:numId w:val="0"/>
              </w:numPr>
              <w:jc w:val="center"/>
              <w:rPr>
                <w:rFonts w:hint="eastAsia"/>
                <w:vertAlign w:val="baseline"/>
              </w:rPr>
            </w:pPr>
          </w:p>
        </w:tc>
        <w:tc>
          <w:tcPr>
            <w:tcW w:w="1473" w:type="dxa"/>
            <w:vMerge w:val="continue"/>
          </w:tcPr>
          <w:p>
            <w:pPr>
              <w:numPr>
                <w:ilvl w:val="0"/>
                <w:numId w:val="0"/>
              </w:numPr>
              <w:jc w:val="center"/>
              <w:rPr>
                <w:rFonts w:hint="eastAsia"/>
                <w:vertAlign w:val="baseline"/>
              </w:rPr>
            </w:pPr>
          </w:p>
        </w:tc>
        <w:tc>
          <w:tcPr>
            <w:tcW w:w="1464" w:type="dxa"/>
            <w:vMerge w:val="continue"/>
          </w:tcPr>
          <w:p>
            <w:pPr>
              <w:numPr>
                <w:ilvl w:val="0"/>
                <w:numId w:val="0"/>
              </w:num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tcPr>
          <w:p>
            <w:pPr>
              <w:numPr>
                <w:ilvl w:val="0"/>
                <w:numId w:val="0"/>
              </w:numPr>
              <w:jc w:val="center"/>
              <w:rPr>
                <w:rFonts w:hint="eastAsia" w:eastAsiaTheme="minorEastAsia"/>
                <w:vertAlign w:val="baseline"/>
                <w:lang w:val="en-US" w:eastAsia="zh-CN"/>
              </w:rPr>
            </w:pPr>
            <w:r>
              <w:rPr>
                <w:rFonts w:hint="eastAsia"/>
                <w:vertAlign w:val="baseline"/>
                <w:lang w:val="en-US" w:eastAsia="zh-CN"/>
              </w:rPr>
              <w:t>4</w:t>
            </w:r>
          </w:p>
        </w:tc>
        <w:tc>
          <w:tcPr>
            <w:tcW w:w="1756"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小型CT臂（手术室）</w:t>
            </w:r>
          </w:p>
        </w:tc>
        <w:tc>
          <w:tcPr>
            <w:tcW w:w="1198" w:type="dxa"/>
            <w:vMerge w:val="continue"/>
          </w:tcPr>
          <w:p>
            <w:pPr>
              <w:numPr>
                <w:ilvl w:val="0"/>
                <w:numId w:val="0"/>
              </w:numPr>
              <w:jc w:val="center"/>
              <w:rPr>
                <w:rFonts w:hint="eastAsia"/>
                <w:vertAlign w:val="baseline"/>
              </w:rPr>
            </w:pPr>
          </w:p>
        </w:tc>
        <w:tc>
          <w:tcPr>
            <w:tcW w:w="1132" w:type="dxa"/>
            <w:vMerge w:val="continue"/>
          </w:tcPr>
          <w:p>
            <w:pPr>
              <w:numPr>
                <w:ilvl w:val="0"/>
                <w:numId w:val="0"/>
              </w:numPr>
              <w:jc w:val="center"/>
              <w:rPr>
                <w:rFonts w:hint="eastAsia"/>
                <w:vertAlign w:val="baseline"/>
              </w:rPr>
            </w:pPr>
          </w:p>
        </w:tc>
        <w:tc>
          <w:tcPr>
            <w:tcW w:w="979" w:type="dxa"/>
            <w:vMerge w:val="continue"/>
          </w:tcPr>
          <w:p>
            <w:pPr>
              <w:numPr>
                <w:ilvl w:val="0"/>
                <w:numId w:val="0"/>
              </w:numPr>
              <w:jc w:val="center"/>
              <w:rPr>
                <w:rFonts w:hint="eastAsia"/>
                <w:vertAlign w:val="baseline"/>
              </w:rPr>
            </w:pPr>
          </w:p>
        </w:tc>
        <w:tc>
          <w:tcPr>
            <w:tcW w:w="1473" w:type="dxa"/>
            <w:vMerge w:val="continue"/>
          </w:tcPr>
          <w:p>
            <w:pPr>
              <w:numPr>
                <w:ilvl w:val="0"/>
                <w:numId w:val="0"/>
              </w:numPr>
              <w:jc w:val="center"/>
              <w:rPr>
                <w:rFonts w:hint="eastAsia"/>
                <w:vertAlign w:val="baseline"/>
              </w:rPr>
            </w:pPr>
          </w:p>
        </w:tc>
        <w:tc>
          <w:tcPr>
            <w:tcW w:w="1464" w:type="dxa"/>
            <w:vMerge w:val="continue"/>
          </w:tcPr>
          <w:p>
            <w:pPr>
              <w:numPr>
                <w:ilvl w:val="0"/>
                <w:numId w:val="0"/>
              </w:num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tcPr>
          <w:p>
            <w:pPr>
              <w:numPr>
                <w:ilvl w:val="0"/>
                <w:numId w:val="0"/>
              </w:numPr>
              <w:jc w:val="center"/>
              <w:rPr>
                <w:rFonts w:hint="eastAsia" w:eastAsiaTheme="minorEastAsia"/>
                <w:vertAlign w:val="baseline"/>
                <w:lang w:val="en-US" w:eastAsia="zh-CN"/>
              </w:rPr>
            </w:pPr>
            <w:r>
              <w:rPr>
                <w:rFonts w:hint="eastAsia"/>
                <w:vertAlign w:val="baseline"/>
                <w:lang w:val="en-US" w:eastAsia="zh-CN"/>
              </w:rPr>
              <w:t>5</w:t>
            </w:r>
          </w:p>
        </w:tc>
        <w:tc>
          <w:tcPr>
            <w:tcW w:w="1756"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CT</w:t>
            </w:r>
          </w:p>
        </w:tc>
        <w:tc>
          <w:tcPr>
            <w:tcW w:w="1198" w:type="dxa"/>
            <w:vMerge w:val="continue"/>
          </w:tcPr>
          <w:p>
            <w:pPr>
              <w:numPr>
                <w:ilvl w:val="0"/>
                <w:numId w:val="0"/>
              </w:numPr>
              <w:jc w:val="center"/>
              <w:rPr>
                <w:rFonts w:hint="eastAsia"/>
                <w:vertAlign w:val="baseline"/>
              </w:rPr>
            </w:pPr>
          </w:p>
        </w:tc>
        <w:tc>
          <w:tcPr>
            <w:tcW w:w="1132" w:type="dxa"/>
            <w:vMerge w:val="continue"/>
          </w:tcPr>
          <w:p>
            <w:pPr>
              <w:numPr>
                <w:ilvl w:val="0"/>
                <w:numId w:val="0"/>
              </w:numPr>
              <w:jc w:val="center"/>
              <w:rPr>
                <w:rFonts w:hint="eastAsia"/>
                <w:vertAlign w:val="baseline"/>
              </w:rPr>
            </w:pPr>
          </w:p>
        </w:tc>
        <w:tc>
          <w:tcPr>
            <w:tcW w:w="979" w:type="dxa"/>
            <w:vMerge w:val="continue"/>
          </w:tcPr>
          <w:p>
            <w:pPr>
              <w:numPr>
                <w:ilvl w:val="0"/>
                <w:numId w:val="0"/>
              </w:numPr>
              <w:jc w:val="center"/>
              <w:rPr>
                <w:rFonts w:hint="eastAsia"/>
                <w:vertAlign w:val="baseline"/>
              </w:rPr>
            </w:pPr>
          </w:p>
        </w:tc>
        <w:tc>
          <w:tcPr>
            <w:tcW w:w="1473" w:type="dxa"/>
            <w:vMerge w:val="continue"/>
          </w:tcPr>
          <w:p>
            <w:pPr>
              <w:numPr>
                <w:ilvl w:val="0"/>
                <w:numId w:val="0"/>
              </w:numPr>
              <w:jc w:val="center"/>
              <w:rPr>
                <w:rFonts w:hint="eastAsia"/>
                <w:vertAlign w:val="baseline"/>
              </w:rPr>
            </w:pPr>
          </w:p>
        </w:tc>
        <w:tc>
          <w:tcPr>
            <w:tcW w:w="1464" w:type="dxa"/>
            <w:vMerge w:val="continue"/>
          </w:tcPr>
          <w:p>
            <w:pPr>
              <w:numPr>
                <w:ilvl w:val="0"/>
                <w:numId w:val="0"/>
              </w:numPr>
              <w:jc w:val="center"/>
              <w:rPr>
                <w:rFonts w:hint="eastAsia"/>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 w:type="dxa"/>
          </w:tcPr>
          <w:p>
            <w:pPr>
              <w:numPr>
                <w:ilvl w:val="0"/>
                <w:numId w:val="0"/>
              </w:numPr>
              <w:jc w:val="center"/>
              <w:rPr>
                <w:rFonts w:hint="default"/>
                <w:vertAlign w:val="baseline"/>
                <w:lang w:val="en-US" w:eastAsia="zh-CN"/>
              </w:rPr>
            </w:pPr>
            <w:r>
              <w:rPr>
                <w:rFonts w:hint="eastAsia"/>
                <w:vertAlign w:val="baseline"/>
                <w:lang w:val="en-US" w:eastAsia="zh-CN"/>
              </w:rPr>
              <w:t>6</w:t>
            </w:r>
          </w:p>
        </w:tc>
        <w:tc>
          <w:tcPr>
            <w:tcW w:w="1756" w:type="dxa"/>
          </w:tcPr>
          <w:p>
            <w:pPr>
              <w:numPr>
                <w:ilvl w:val="0"/>
                <w:numId w:val="0"/>
              </w:numPr>
              <w:jc w:val="center"/>
              <w:rPr>
                <w:rFonts w:hint="default"/>
                <w:vertAlign w:val="baseline"/>
                <w:lang w:val="en-US" w:eastAsia="zh-CN"/>
              </w:rPr>
            </w:pPr>
            <w:r>
              <w:rPr>
                <w:rFonts w:hint="eastAsia"/>
                <w:vertAlign w:val="baseline"/>
                <w:lang w:val="en-US" w:eastAsia="zh-CN"/>
              </w:rPr>
              <w:t>个人剂量监测</w:t>
            </w:r>
          </w:p>
        </w:tc>
        <w:tc>
          <w:tcPr>
            <w:tcW w:w="1198" w:type="dxa"/>
          </w:tcPr>
          <w:p>
            <w:pPr>
              <w:numPr>
                <w:ilvl w:val="0"/>
                <w:numId w:val="0"/>
              </w:numPr>
              <w:jc w:val="center"/>
              <w:rPr>
                <w:rFonts w:hint="default" w:eastAsiaTheme="minorEastAsia"/>
                <w:vertAlign w:val="baseline"/>
                <w:lang w:val="en-US" w:eastAsia="zh-CN"/>
              </w:rPr>
            </w:pPr>
            <w:r>
              <w:rPr>
                <w:rFonts w:hint="eastAsia"/>
                <w:vertAlign w:val="baseline"/>
                <w:lang w:val="en-US" w:eastAsia="zh-CN"/>
              </w:rPr>
              <w:t>29人份</w:t>
            </w:r>
          </w:p>
        </w:tc>
        <w:tc>
          <w:tcPr>
            <w:tcW w:w="1132" w:type="dxa"/>
            <w:vMerge w:val="continue"/>
          </w:tcPr>
          <w:p>
            <w:pPr>
              <w:numPr>
                <w:ilvl w:val="0"/>
                <w:numId w:val="0"/>
              </w:numPr>
              <w:jc w:val="center"/>
              <w:rPr>
                <w:rFonts w:hint="eastAsia"/>
                <w:vertAlign w:val="baseline"/>
              </w:rPr>
            </w:pPr>
          </w:p>
        </w:tc>
        <w:tc>
          <w:tcPr>
            <w:tcW w:w="979" w:type="dxa"/>
            <w:vMerge w:val="continue"/>
          </w:tcPr>
          <w:p>
            <w:pPr>
              <w:numPr>
                <w:ilvl w:val="0"/>
                <w:numId w:val="0"/>
              </w:numPr>
              <w:jc w:val="center"/>
              <w:rPr>
                <w:rFonts w:hint="eastAsia"/>
                <w:vertAlign w:val="baseline"/>
              </w:rPr>
            </w:pPr>
          </w:p>
        </w:tc>
        <w:tc>
          <w:tcPr>
            <w:tcW w:w="1473" w:type="dxa"/>
            <w:vMerge w:val="continue"/>
          </w:tcPr>
          <w:p>
            <w:pPr>
              <w:numPr>
                <w:ilvl w:val="0"/>
                <w:numId w:val="0"/>
              </w:numPr>
              <w:jc w:val="center"/>
              <w:rPr>
                <w:rFonts w:hint="eastAsia"/>
                <w:vertAlign w:val="baseline"/>
              </w:rPr>
            </w:pPr>
          </w:p>
        </w:tc>
        <w:tc>
          <w:tcPr>
            <w:tcW w:w="1464" w:type="dxa"/>
            <w:vMerge w:val="continue"/>
          </w:tcPr>
          <w:p>
            <w:pPr>
              <w:numPr>
                <w:ilvl w:val="0"/>
                <w:numId w:val="0"/>
              </w:numPr>
              <w:jc w:val="center"/>
              <w:rPr>
                <w:rFonts w:hint="eastAsia"/>
                <w:vertAlign w:val="baseline"/>
              </w:rPr>
            </w:pPr>
          </w:p>
        </w:tc>
      </w:tr>
    </w:tbl>
    <w:p>
      <w:pPr>
        <w:numPr>
          <w:ilvl w:val="0"/>
          <w:numId w:val="0"/>
        </w:numPr>
        <w:rPr>
          <w:rFonts w:hint="default"/>
          <w:lang w:val="en-US" w:eastAsia="zh-CN"/>
        </w:rPr>
      </w:pPr>
      <w:r>
        <w:rPr>
          <w:rFonts w:hint="default"/>
          <w:lang w:val="en-US" w:eastAsia="zh-CN"/>
        </w:rPr>
        <w:t>注</w:t>
      </w:r>
      <w:r>
        <w:rPr>
          <w:rFonts w:hint="eastAsia"/>
          <w:lang w:val="en-US" w:eastAsia="zh-CN"/>
        </w:rPr>
        <w:t>（表1、表2）</w:t>
      </w:r>
      <w:r>
        <w:rPr>
          <w:rFonts w:hint="default"/>
          <w:lang w:val="en-US" w:eastAsia="zh-CN"/>
        </w:rPr>
        <w:t>:</w:t>
      </w:r>
    </w:p>
    <w:p>
      <w:pPr>
        <w:numPr>
          <w:ilvl w:val="0"/>
          <w:numId w:val="0"/>
        </w:numPr>
        <w:rPr>
          <w:rFonts w:hint="default"/>
          <w:lang w:val="en-US" w:eastAsia="zh-CN"/>
        </w:rPr>
      </w:pPr>
      <w:r>
        <w:rPr>
          <w:rFonts w:hint="default"/>
          <w:lang w:val="en-US" w:eastAsia="zh-CN"/>
        </w:rPr>
        <w:t>1.本表格所列设备</w:t>
      </w:r>
      <w:r>
        <w:rPr>
          <w:rFonts w:hint="eastAsia"/>
          <w:lang w:val="en-US" w:eastAsia="zh-CN"/>
        </w:rPr>
        <w:t>及个人剂量监测，</w:t>
      </w:r>
      <w:r>
        <w:rPr>
          <w:rFonts w:hint="default"/>
          <w:lang w:val="en-US" w:eastAsia="zh-CN"/>
        </w:rPr>
        <w:t>为我院现有数，不代表每年度实际检测数量。</w:t>
      </w:r>
    </w:p>
    <w:p>
      <w:pPr>
        <w:numPr>
          <w:ilvl w:val="0"/>
          <w:numId w:val="0"/>
        </w:numPr>
        <w:rPr>
          <w:rFonts w:hint="default"/>
          <w:lang w:val="en-US" w:eastAsia="zh-CN"/>
        </w:rPr>
      </w:pPr>
      <w:r>
        <w:rPr>
          <w:rFonts w:hint="default"/>
          <w:lang w:val="en-US" w:eastAsia="zh-CN"/>
        </w:rPr>
        <w:t>2.每年度实际检测以我院实际需求为准，供应商必须对本项目的全部内容进行报价。</w:t>
      </w:r>
    </w:p>
    <w:p>
      <w:pPr>
        <w:numPr>
          <w:ilvl w:val="0"/>
          <w:numId w:val="0"/>
        </w:numPr>
        <w:rPr>
          <w:rFonts w:hint="eastAsia"/>
          <w:lang w:val="en-US" w:eastAsia="zh-CN"/>
        </w:rPr>
      </w:pPr>
      <w:r>
        <w:rPr>
          <w:rFonts w:hint="default"/>
          <w:lang w:val="en-US" w:eastAsia="zh-CN"/>
        </w:rPr>
        <w:t>3</w:t>
      </w:r>
      <w:r>
        <w:rPr>
          <w:rFonts w:hint="eastAsia"/>
          <w:lang w:val="en-US" w:eastAsia="zh-CN"/>
        </w:rPr>
        <w:t>.</w:t>
      </w:r>
      <w:r>
        <w:rPr>
          <w:rFonts w:hint="default"/>
          <w:lang w:val="en-US" w:eastAsia="zh-CN"/>
        </w:rPr>
        <w:t>新增检测设备</w:t>
      </w:r>
      <w:r>
        <w:rPr>
          <w:rFonts w:hint="eastAsia"/>
          <w:lang w:val="en-US" w:eastAsia="zh-CN"/>
        </w:rPr>
        <w:t>、人员</w:t>
      </w:r>
      <w:r>
        <w:rPr>
          <w:rFonts w:hint="default"/>
          <w:lang w:val="en-US" w:eastAsia="zh-CN"/>
        </w:rPr>
        <w:t>单价不能超过最高限制单价</w:t>
      </w:r>
      <w:r>
        <w:rPr>
          <w:rFonts w:hint="eastAsia"/>
          <w:lang w:val="en-US" w:eastAsia="zh-CN"/>
        </w:rPr>
        <w:t>。</w:t>
      </w:r>
    </w:p>
    <w:p>
      <w:pPr>
        <w:numPr>
          <w:ilvl w:val="0"/>
          <w:numId w:val="0"/>
        </w:numPr>
        <w:rPr>
          <w:rFonts w:hint="eastAsia"/>
          <w:b/>
          <w:bCs/>
          <w:lang w:val="en-US" w:eastAsia="zh-CN"/>
        </w:rPr>
      </w:pPr>
      <w:r>
        <w:rPr>
          <w:rFonts w:hint="eastAsia"/>
          <w:lang w:val="en-US" w:eastAsia="zh-CN"/>
        </w:rPr>
        <w:t>4.投标人应配备完成本项目所需要的自有专用设备，所有参与本项目的专用设备须严格按照国家计量法的要求完成检定和检验，仪器使用时间在检定有效期内。</w:t>
      </w:r>
      <w:r>
        <w:rPr>
          <w:rFonts w:hint="eastAsia"/>
          <w:b/>
          <w:bCs/>
          <w:lang w:val="en-US" w:eastAsia="zh-CN"/>
        </w:rPr>
        <w:t>须提供在有效期内的检定或校准证书。</w:t>
      </w:r>
    </w:p>
    <w:p>
      <w:pPr>
        <w:numPr>
          <w:ilvl w:val="0"/>
          <w:numId w:val="0"/>
        </w:numPr>
        <w:rPr>
          <w:rFonts w:hint="default"/>
          <w:b/>
          <w:bCs/>
          <w:lang w:val="en-US" w:eastAsia="zh-CN"/>
        </w:rPr>
      </w:pPr>
      <w:r>
        <w:rPr>
          <w:rFonts w:hint="eastAsia"/>
          <w:b/>
          <w:bCs/>
          <w:lang w:val="en-US" w:eastAsia="zh-CN"/>
        </w:rPr>
        <w:t>5.报价包含本项目所产生的一切费用。</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913470"/>
    <w:rsid w:val="02913470"/>
    <w:rsid w:val="08445B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2024-12-01T23:52:00Z</dcterms:created>
  <dc:creator>Administrator</dc:creator>
  <cp:lastModifiedBy>Administrator</cp:lastModifiedBy>
  <dcterms:modified xsi:type="dcterms:W3CDTF">2024-12-02T00:30:22Z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59E22B472C6847839C2B98665F7E2498</vt:lpwstr>
  </property>
</Properties>
</file>